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E2A2" w14:textId="77777777" w:rsidR="00265BEF" w:rsidRPr="00D63610" w:rsidRDefault="00265BEF" w:rsidP="00265BEF">
      <w:pPr>
        <w:spacing w:after="0" w:line="360" w:lineRule="auto"/>
        <w:jc w:val="center"/>
        <w:rPr>
          <w:rFonts w:ascii="Times New Roman" w:hAnsi="Times New Roman" w:cs="Times New Roman"/>
          <w:b/>
          <w:bCs/>
          <w:sz w:val="28"/>
          <w:szCs w:val="28"/>
        </w:rPr>
      </w:pPr>
      <w:r w:rsidRPr="00D63610">
        <w:rPr>
          <w:rFonts w:ascii="Times New Roman" w:hAnsi="Times New Roman" w:cs="Times New Roman"/>
          <w:b/>
          <w:bCs/>
          <w:sz w:val="28"/>
          <w:szCs w:val="28"/>
        </w:rPr>
        <w:t xml:space="preserve">Shifts in Bacterial Family Composition in Goat Rumen Fluid Supplemented with </w:t>
      </w:r>
      <w:r w:rsidRPr="00D63610">
        <w:rPr>
          <w:rFonts w:ascii="Times New Roman" w:hAnsi="Times New Roman" w:cs="Times New Roman"/>
          <w:b/>
          <w:bCs/>
          <w:i/>
          <w:iCs/>
          <w:sz w:val="28"/>
          <w:szCs w:val="28"/>
        </w:rPr>
        <w:t xml:space="preserve">Terminalia </w:t>
      </w:r>
      <w:proofErr w:type="spellStart"/>
      <w:r w:rsidRPr="00D63610">
        <w:rPr>
          <w:rFonts w:ascii="Times New Roman" w:hAnsi="Times New Roman" w:cs="Times New Roman"/>
          <w:b/>
          <w:bCs/>
          <w:i/>
          <w:iCs/>
          <w:sz w:val="28"/>
          <w:szCs w:val="28"/>
        </w:rPr>
        <w:t>catappa</w:t>
      </w:r>
      <w:proofErr w:type="spellEnd"/>
      <w:r w:rsidRPr="00D63610">
        <w:rPr>
          <w:rFonts w:ascii="Times New Roman" w:hAnsi="Times New Roman" w:cs="Times New Roman"/>
          <w:b/>
          <w:bCs/>
          <w:sz w:val="28"/>
          <w:szCs w:val="28"/>
        </w:rPr>
        <w:t xml:space="preserve"> L. Leaf Extract</w:t>
      </w:r>
    </w:p>
    <w:p w14:paraId="47A4A303" w14:textId="77777777" w:rsidR="00265BEF" w:rsidRPr="001B7EF2" w:rsidRDefault="00265BEF" w:rsidP="00265BEF">
      <w:pPr>
        <w:spacing w:before="240" w:line="360" w:lineRule="auto"/>
        <w:jc w:val="center"/>
        <w:rPr>
          <w:rFonts w:ascii="Times New Roman" w:hAnsi="Times New Roman" w:cs="Times New Roman"/>
          <w:b/>
          <w:sz w:val="24"/>
          <w:szCs w:val="24"/>
        </w:rPr>
      </w:pPr>
      <w:r w:rsidRPr="001B7EF2">
        <w:rPr>
          <w:rFonts w:ascii="Times New Roman" w:hAnsi="Times New Roman" w:cs="Times New Roman"/>
          <w:b/>
          <w:sz w:val="24"/>
          <w:szCs w:val="24"/>
        </w:rPr>
        <w:t>ABSTRACT</w:t>
      </w:r>
    </w:p>
    <w:p w14:paraId="120E7B9E" w14:textId="0BAE3A58" w:rsidR="00265BEF" w:rsidRPr="00432A2A" w:rsidRDefault="00DE32DD" w:rsidP="00265BEF">
      <w:pPr>
        <w:spacing w:before="240" w:after="0" w:line="360" w:lineRule="auto"/>
        <w:ind w:firstLine="720"/>
        <w:jc w:val="both"/>
        <w:rPr>
          <w:rFonts w:ascii="Times New Roman" w:hAnsi="Times New Roman" w:cs="Times New Roman"/>
          <w:bCs/>
          <w:sz w:val="24"/>
          <w:szCs w:val="24"/>
          <w:highlight w:val="yellow"/>
        </w:rPr>
      </w:pPr>
      <w:r w:rsidRPr="00DE32DD">
        <w:rPr>
          <w:rFonts w:ascii="Times New Roman" w:hAnsi="Times New Roman" w:cs="Times New Roman"/>
          <w:bCs/>
          <w:sz w:val="24"/>
          <w:szCs w:val="24"/>
        </w:rPr>
        <w:t xml:space="preserve">Phytogenic feed additives have the potential to influence the structure of the community and </w:t>
      </w:r>
      <w:r w:rsidRPr="00EF1E9B">
        <w:rPr>
          <w:rFonts w:ascii="Times New Roman" w:hAnsi="Times New Roman" w:cs="Times New Roman"/>
          <w:bCs/>
          <w:sz w:val="24"/>
          <w:szCs w:val="24"/>
        </w:rPr>
        <w:t xml:space="preserve">composition of microbes in the rumen when </w:t>
      </w:r>
      <w:proofErr w:type="spellStart"/>
      <w:r w:rsidRPr="00EF1E9B">
        <w:rPr>
          <w:rFonts w:ascii="Times New Roman" w:hAnsi="Times New Roman" w:cs="Times New Roman"/>
          <w:bCs/>
          <w:sz w:val="24"/>
          <w:szCs w:val="24"/>
        </w:rPr>
        <w:t>supplementes</w:t>
      </w:r>
      <w:proofErr w:type="spellEnd"/>
      <w:r w:rsidRPr="00EF1E9B">
        <w:rPr>
          <w:rFonts w:ascii="Times New Roman" w:hAnsi="Times New Roman" w:cs="Times New Roman"/>
          <w:bCs/>
          <w:sz w:val="24"/>
          <w:szCs w:val="24"/>
        </w:rPr>
        <w:t xml:space="preserve"> into feed through interaction with bacteria. However, study on the effect of feed additives on rumen bacterial shifts at the family level are still limited</w:t>
      </w:r>
      <w:r w:rsidR="00265BEF" w:rsidRPr="00EF1E9B">
        <w:rPr>
          <w:rFonts w:ascii="Times New Roman" w:hAnsi="Times New Roman" w:cs="Times New Roman"/>
          <w:bCs/>
          <w:sz w:val="24"/>
          <w:szCs w:val="24"/>
        </w:rPr>
        <w:t xml:space="preserve">. </w:t>
      </w:r>
      <w:r w:rsidR="00EF1E9B" w:rsidRPr="00EF1E9B">
        <w:rPr>
          <w:rFonts w:ascii="Times New Roman" w:hAnsi="Times New Roman" w:cs="Times New Roman"/>
          <w:bCs/>
          <w:sz w:val="24"/>
          <w:szCs w:val="24"/>
        </w:rPr>
        <w:t xml:space="preserve">This study aimed to evaluate shifts in the composition of rumen bacteria in goats at the family level when supplemented with </w:t>
      </w:r>
      <w:r w:rsidR="00EF1E9B" w:rsidRPr="00EF1E9B">
        <w:rPr>
          <w:rFonts w:ascii="Times New Roman" w:hAnsi="Times New Roman" w:cs="Times New Roman"/>
          <w:bCs/>
          <w:i/>
          <w:iCs/>
          <w:sz w:val="24"/>
          <w:szCs w:val="24"/>
        </w:rPr>
        <w:t xml:space="preserve">Terminalia </w:t>
      </w:r>
      <w:proofErr w:type="spellStart"/>
      <w:r w:rsidR="00EF1E9B" w:rsidRPr="00EF1E9B">
        <w:rPr>
          <w:rFonts w:ascii="Times New Roman" w:hAnsi="Times New Roman" w:cs="Times New Roman"/>
          <w:bCs/>
          <w:i/>
          <w:iCs/>
          <w:sz w:val="24"/>
          <w:szCs w:val="24"/>
        </w:rPr>
        <w:t>catappa</w:t>
      </w:r>
      <w:proofErr w:type="spellEnd"/>
      <w:r w:rsidR="00EF1E9B" w:rsidRPr="00EF1E9B">
        <w:rPr>
          <w:rFonts w:ascii="Times New Roman" w:hAnsi="Times New Roman" w:cs="Times New Roman"/>
          <w:bCs/>
          <w:i/>
          <w:iCs/>
          <w:sz w:val="24"/>
          <w:szCs w:val="24"/>
        </w:rPr>
        <w:t xml:space="preserve"> </w:t>
      </w:r>
      <w:r w:rsidR="00EF1E9B" w:rsidRPr="00EF1E9B">
        <w:rPr>
          <w:rFonts w:ascii="Times New Roman" w:hAnsi="Times New Roman" w:cs="Times New Roman"/>
          <w:bCs/>
          <w:sz w:val="24"/>
          <w:szCs w:val="24"/>
        </w:rPr>
        <w:t xml:space="preserve">L. leaf extract. The study used three treatments: </w:t>
      </w:r>
      <w:r w:rsidR="00265BEF" w:rsidRPr="00EF1E9B">
        <w:rPr>
          <w:rFonts w:ascii="Times New Roman" w:hAnsi="Times New Roman" w:cs="Times New Roman"/>
          <w:bCs/>
          <w:sz w:val="24"/>
          <w:szCs w:val="24"/>
        </w:rPr>
        <w:t xml:space="preserve">T0: </w:t>
      </w:r>
      <w:r w:rsidR="00EF1E9B" w:rsidRPr="00EF1E9B">
        <w:rPr>
          <w:rFonts w:ascii="Times New Roman" w:hAnsi="Times New Roman" w:cs="Times New Roman"/>
          <w:bCs/>
          <w:sz w:val="24"/>
          <w:szCs w:val="24"/>
        </w:rPr>
        <w:t>control ration</w:t>
      </w:r>
      <w:r w:rsidR="00265BEF" w:rsidRPr="00EF1E9B">
        <w:rPr>
          <w:rFonts w:ascii="Times New Roman" w:hAnsi="Times New Roman" w:cs="Times New Roman"/>
          <w:bCs/>
          <w:sz w:val="24"/>
          <w:szCs w:val="24"/>
        </w:rPr>
        <w:t xml:space="preserve">; T1: </w:t>
      </w:r>
      <w:r w:rsidR="00EF1E9B" w:rsidRPr="00EF1E9B">
        <w:rPr>
          <w:rFonts w:ascii="Times New Roman" w:hAnsi="Times New Roman" w:cs="Times New Roman"/>
          <w:sz w:val="24"/>
          <w:szCs w:val="24"/>
        </w:rPr>
        <w:t xml:space="preserve">Ration with 1% </w:t>
      </w:r>
      <w:r w:rsidR="00EF1E9B" w:rsidRPr="00EF1E9B">
        <w:rPr>
          <w:rFonts w:ascii="Times New Roman" w:hAnsi="Times New Roman" w:cs="Times New Roman"/>
          <w:i/>
          <w:iCs/>
          <w:sz w:val="24"/>
          <w:szCs w:val="24"/>
        </w:rPr>
        <w:t xml:space="preserve">Terminalia </w:t>
      </w:r>
      <w:proofErr w:type="spellStart"/>
      <w:r w:rsidR="00EF1E9B" w:rsidRPr="00EF1E9B">
        <w:rPr>
          <w:rFonts w:ascii="Times New Roman" w:hAnsi="Times New Roman" w:cs="Times New Roman"/>
          <w:i/>
          <w:iCs/>
          <w:sz w:val="24"/>
          <w:szCs w:val="24"/>
        </w:rPr>
        <w:t>Catappa</w:t>
      </w:r>
      <w:proofErr w:type="spellEnd"/>
      <w:r w:rsidR="00EF1E9B" w:rsidRPr="00EF1E9B">
        <w:rPr>
          <w:rFonts w:ascii="Times New Roman" w:hAnsi="Times New Roman" w:cs="Times New Roman"/>
          <w:i/>
          <w:iCs/>
          <w:sz w:val="24"/>
          <w:szCs w:val="24"/>
        </w:rPr>
        <w:t xml:space="preserve"> </w:t>
      </w:r>
      <w:r w:rsidR="00EF1E9B" w:rsidRPr="00EF1E9B">
        <w:rPr>
          <w:rFonts w:ascii="Times New Roman" w:hAnsi="Times New Roman" w:cs="Times New Roman"/>
          <w:sz w:val="24"/>
          <w:szCs w:val="24"/>
        </w:rPr>
        <w:t>L leaf extract supplementation</w:t>
      </w:r>
      <w:r w:rsidR="00265BEF" w:rsidRPr="00EF1E9B">
        <w:rPr>
          <w:rFonts w:ascii="Times New Roman" w:hAnsi="Times New Roman" w:cs="Times New Roman"/>
          <w:bCs/>
          <w:sz w:val="24"/>
          <w:szCs w:val="24"/>
        </w:rPr>
        <w:t xml:space="preserve">; </w:t>
      </w:r>
      <w:r w:rsidR="00EF1E9B" w:rsidRPr="00EF1E9B">
        <w:rPr>
          <w:rFonts w:ascii="Times New Roman" w:hAnsi="Times New Roman" w:cs="Times New Roman"/>
          <w:bCs/>
          <w:sz w:val="24"/>
          <w:szCs w:val="24"/>
        </w:rPr>
        <w:t>and</w:t>
      </w:r>
      <w:r w:rsidR="00265BEF" w:rsidRPr="00EF1E9B">
        <w:rPr>
          <w:rFonts w:ascii="Times New Roman" w:hAnsi="Times New Roman" w:cs="Times New Roman"/>
          <w:bCs/>
          <w:sz w:val="24"/>
          <w:szCs w:val="24"/>
        </w:rPr>
        <w:t xml:space="preserve"> T2: </w:t>
      </w:r>
      <w:r w:rsidR="00EF1E9B" w:rsidRPr="00EF1E9B">
        <w:rPr>
          <w:rFonts w:ascii="Times New Roman" w:hAnsi="Times New Roman" w:cs="Times New Roman"/>
          <w:sz w:val="24"/>
          <w:szCs w:val="24"/>
        </w:rPr>
        <w:t xml:space="preserve">Ration with 2% </w:t>
      </w:r>
      <w:r w:rsidR="00EF1E9B" w:rsidRPr="00EF1E9B">
        <w:rPr>
          <w:rFonts w:ascii="Times New Roman" w:hAnsi="Times New Roman" w:cs="Times New Roman"/>
          <w:i/>
          <w:iCs/>
          <w:sz w:val="24"/>
          <w:szCs w:val="24"/>
        </w:rPr>
        <w:t xml:space="preserve">Terminalia </w:t>
      </w:r>
      <w:proofErr w:type="spellStart"/>
      <w:r w:rsidR="00EF1E9B" w:rsidRPr="00EF1E9B">
        <w:rPr>
          <w:rFonts w:ascii="Times New Roman" w:hAnsi="Times New Roman" w:cs="Times New Roman"/>
          <w:i/>
          <w:iCs/>
          <w:sz w:val="24"/>
          <w:szCs w:val="24"/>
        </w:rPr>
        <w:t>Catappa</w:t>
      </w:r>
      <w:proofErr w:type="spellEnd"/>
      <w:r w:rsidR="00EF1E9B" w:rsidRPr="00EF1E9B">
        <w:rPr>
          <w:rFonts w:ascii="Times New Roman" w:hAnsi="Times New Roman" w:cs="Times New Roman"/>
          <w:i/>
          <w:iCs/>
          <w:sz w:val="24"/>
          <w:szCs w:val="24"/>
        </w:rPr>
        <w:t xml:space="preserve"> </w:t>
      </w:r>
      <w:r w:rsidR="00EF1E9B" w:rsidRPr="00EF1E9B">
        <w:rPr>
          <w:rFonts w:ascii="Times New Roman" w:hAnsi="Times New Roman" w:cs="Times New Roman"/>
          <w:sz w:val="24"/>
          <w:szCs w:val="24"/>
        </w:rPr>
        <w:t>L leaf extract supplementation</w:t>
      </w:r>
      <w:r w:rsidR="00AB3167">
        <w:rPr>
          <w:rFonts w:ascii="Times New Roman" w:hAnsi="Times New Roman" w:cs="Times New Roman"/>
          <w:bCs/>
          <w:sz w:val="24"/>
          <w:szCs w:val="24"/>
        </w:rPr>
        <w:t xml:space="preserve">. The composition of the microbiota was analyzed using 16S rRNA </w:t>
      </w:r>
      <w:r w:rsidR="00265BEF" w:rsidRPr="00AB3167">
        <w:rPr>
          <w:rFonts w:ascii="Times New Roman" w:hAnsi="Times New Roman" w:cs="Times New Roman"/>
          <w:bCs/>
          <w:sz w:val="24"/>
          <w:szCs w:val="24"/>
        </w:rPr>
        <w:t xml:space="preserve">Amplicon Sequencing </w:t>
      </w:r>
      <w:r w:rsidR="00AB3167" w:rsidRPr="00AB3167">
        <w:rPr>
          <w:rFonts w:ascii="Times New Roman" w:hAnsi="Times New Roman" w:cs="Times New Roman"/>
          <w:bCs/>
          <w:sz w:val="24"/>
          <w:szCs w:val="24"/>
        </w:rPr>
        <w:t xml:space="preserve">targeting the V3-V4 hypervariable regio using </w:t>
      </w:r>
      <w:r w:rsidR="00265BEF" w:rsidRPr="00261A54">
        <w:rPr>
          <w:rFonts w:ascii="Times New Roman" w:hAnsi="Times New Roman" w:cs="Times New Roman"/>
          <w:bCs/>
          <w:sz w:val="24"/>
          <w:szCs w:val="24"/>
        </w:rPr>
        <w:t xml:space="preserve">Illumina </w:t>
      </w:r>
      <w:proofErr w:type="spellStart"/>
      <w:r w:rsidR="00265BEF" w:rsidRPr="00261A54">
        <w:rPr>
          <w:rFonts w:ascii="Times New Roman" w:hAnsi="Times New Roman" w:cs="Times New Roman"/>
          <w:bCs/>
          <w:sz w:val="24"/>
          <w:szCs w:val="24"/>
        </w:rPr>
        <w:t>MiSeq</w:t>
      </w:r>
      <w:proofErr w:type="spellEnd"/>
      <w:r w:rsidR="00AB3167" w:rsidRPr="00261A54">
        <w:rPr>
          <w:rFonts w:ascii="Times New Roman" w:hAnsi="Times New Roman" w:cs="Times New Roman"/>
          <w:bCs/>
          <w:sz w:val="24"/>
          <w:szCs w:val="24"/>
        </w:rPr>
        <w:t xml:space="preserve"> platform. </w:t>
      </w:r>
      <w:r w:rsidR="00261A54" w:rsidRPr="00261A54">
        <w:rPr>
          <w:rFonts w:ascii="Times New Roman" w:hAnsi="Times New Roman" w:cs="Times New Roman"/>
          <w:bCs/>
          <w:sz w:val="24"/>
          <w:szCs w:val="24"/>
        </w:rPr>
        <w:t xml:space="preserve">The results of alpha diversity analysis showed that supplementation with </w:t>
      </w:r>
      <w:r w:rsidR="00265BEF" w:rsidRPr="00261A54">
        <w:rPr>
          <w:rFonts w:ascii="Times New Roman" w:hAnsi="Times New Roman" w:cs="Times New Roman"/>
          <w:bCs/>
          <w:i/>
          <w:iCs/>
          <w:sz w:val="24"/>
          <w:szCs w:val="24"/>
        </w:rPr>
        <w:t xml:space="preserve">Terminalia </w:t>
      </w:r>
      <w:proofErr w:type="spellStart"/>
      <w:r w:rsidR="00265BEF" w:rsidRPr="00261A54">
        <w:rPr>
          <w:rFonts w:ascii="Times New Roman" w:hAnsi="Times New Roman" w:cs="Times New Roman"/>
          <w:bCs/>
          <w:i/>
          <w:iCs/>
          <w:sz w:val="24"/>
          <w:szCs w:val="24"/>
        </w:rPr>
        <w:t>Catappa</w:t>
      </w:r>
      <w:proofErr w:type="spellEnd"/>
      <w:r w:rsidR="00265BEF" w:rsidRPr="00261A54">
        <w:rPr>
          <w:rFonts w:ascii="Times New Roman" w:hAnsi="Times New Roman" w:cs="Times New Roman"/>
          <w:bCs/>
          <w:i/>
          <w:iCs/>
          <w:sz w:val="24"/>
          <w:szCs w:val="24"/>
        </w:rPr>
        <w:t xml:space="preserve"> </w:t>
      </w:r>
      <w:r w:rsidR="00265BEF" w:rsidRPr="00261A54">
        <w:rPr>
          <w:rFonts w:ascii="Times New Roman" w:hAnsi="Times New Roman" w:cs="Times New Roman"/>
          <w:bCs/>
          <w:sz w:val="24"/>
          <w:szCs w:val="24"/>
        </w:rPr>
        <w:t xml:space="preserve">L. </w:t>
      </w:r>
      <w:r w:rsidR="00261A54" w:rsidRPr="00261A54">
        <w:rPr>
          <w:rFonts w:ascii="Times New Roman" w:hAnsi="Times New Roman" w:cs="Times New Roman"/>
          <w:bCs/>
          <w:sz w:val="24"/>
          <w:szCs w:val="24"/>
        </w:rPr>
        <w:t xml:space="preserve">leaf extract at a </w:t>
      </w:r>
      <w:r w:rsidR="00265BEF" w:rsidRPr="00261A54">
        <w:rPr>
          <w:rFonts w:ascii="Times New Roman" w:hAnsi="Times New Roman" w:cs="Times New Roman"/>
          <w:bCs/>
          <w:sz w:val="24"/>
          <w:szCs w:val="24"/>
        </w:rPr>
        <w:t xml:space="preserve">level 2% (T2) </w:t>
      </w:r>
      <w:r w:rsidR="00261A54" w:rsidRPr="00261A54">
        <w:rPr>
          <w:rFonts w:ascii="Times New Roman" w:hAnsi="Times New Roman" w:cs="Times New Roman"/>
          <w:bCs/>
          <w:sz w:val="24"/>
          <w:szCs w:val="24"/>
        </w:rPr>
        <w:t xml:space="preserve">had a significant effect on rumen microbiota because it had the highest diversity and species richness values compared to T0 and T1. </w:t>
      </w:r>
      <w:r w:rsidR="0029466D">
        <w:rPr>
          <w:rFonts w:ascii="Times New Roman" w:hAnsi="Times New Roman" w:cs="Times New Roman"/>
          <w:bCs/>
          <w:sz w:val="24"/>
          <w:szCs w:val="24"/>
        </w:rPr>
        <w:t xml:space="preserve">The results of beta diversity analysis showed that differences and </w:t>
      </w:r>
      <w:r w:rsidR="0029466D" w:rsidRPr="0029466D">
        <w:rPr>
          <w:rFonts w:ascii="Times New Roman" w:hAnsi="Times New Roman" w:cs="Times New Roman"/>
          <w:bCs/>
          <w:sz w:val="24"/>
          <w:szCs w:val="24"/>
        </w:rPr>
        <w:t xml:space="preserve">separation of cluster between treatments. Relative abundance analysis showed a </w:t>
      </w:r>
      <w:proofErr w:type="spellStart"/>
      <w:r w:rsidR="0029466D" w:rsidRPr="0029466D">
        <w:rPr>
          <w:rFonts w:ascii="Times New Roman" w:hAnsi="Times New Roman" w:cs="Times New Roman"/>
          <w:bCs/>
          <w:sz w:val="24"/>
          <w:szCs w:val="24"/>
        </w:rPr>
        <w:t>decrase</w:t>
      </w:r>
      <w:proofErr w:type="spellEnd"/>
      <w:r w:rsidR="0029466D" w:rsidRPr="0029466D">
        <w:rPr>
          <w:rFonts w:ascii="Times New Roman" w:hAnsi="Times New Roman" w:cs="Times New Roman"/>
          <w:bCs/>
          <w:sz w:val="24"/>
          <w:szCs w:val="24"/>
        </w:rPr>
        <w:t xml:space="preserve"> in the </w:t>
      </w:r>
      <w:proofErr w:type="spellStart"/>
      <w:r w:rsidR="00265BEF" w:rsidRPr="0029466D">
        <w:rPr>
          <w:rFonts w:ascii="Times New Roman" w:hAnsi="Times New Roman" w:cs="Times New Roman"/>
          <w:bCs/>
          <w:i/>
          <w:iCs/>
          <w:sz w:val="24"/>
          <w:szCs w:val="24"/>
        </w:rPr>
        <w:t>Prevotellaceae</w:t>
      </w:r>
      <w:proofErr w:type="spellEnd"/>
      <w:r w:rsidR="0029466D" w:rsidRPr="0029466D">
        <w:rPr>
          <w:rFonts w:ascii="Times New Roman" w:hAnsi="Times New Roman" w:cs="Times New Roman"/>
          <w:bCs/>
          <w:i/>
          <w:iCs/>
          <w:sz w:val="24"/>
          <w:szCs w:val="24"/>
        </w:rPr>
        <w:t xml:space="preserve"> </w:t>
      </w:r>
      <w:r w:rsidR="0029466D" w:rsidRPr="0029466D">
        <w:rPr>
          <w:rFonts w:ascii="Times New Roman" w:hAnsi="Times New Roman" w:cs="Times New Roman"/>
          <w:bCs/>
          <w:sz w:val="24"/>
          <w:szCs w:val="24"/>
        </w:rPr>
        <w:t>family</w:t>
      </w:r>
      <w:r w:rsidR="00265BEF" w:rsidRPr="0029466D">
        <w:rPr>
          <w:rFonts w:ascii="Times New Roman" w:hAnsi="Times New Roman" w:cs="Times New Roman"/>
          <w:bCs/>
          <w:i/>
          <w:iCs/>
          <w:sz w:val="24"/>
          <w:szCs w:val="24"/>
        </w:rPr>
        <w:t>,</w:t>
      </w:r>
      <w:r w:rsidR="0029466D" w:rsidRPr="0029466D">
        <w:rPr>
          <w:rFonts w:ascii="Times New Roman" w:hAnsi="Times New Roman" w:cs="Times New Roman"/>
          <w:bCs/>
          <w:i/>
          <w:iCs/>
          <w:sz w:val="24"/>
          <w:szCs w:val="24"/>
        </w:rPr>
        <w:t xml:space="preserve"> </w:t>
      </w:r>
      <w:r w:rsidR="0029466D" w:rsidRPr="0029466D">
        <w:rPr>
          <w:rFonts w:ascii="Times New Roman" w:hAnsi="Times New Roman" w:cs="Times New Roman"/>
          <w:bCs/>
          <w:sz w:val="24"/>
          <w:szCs w:val="24"/>
        </w:rPr>
        <w:t xml:space="preserve">and found </w:t>
      </w:r>
      <w:proofErr w:type="spellStart"/>
      <w:r w:rsidR="00265BEF" w:rsidRPr="0029466D">
        <w:rPr>
          <w:rFonts w:ascii="Times New Roman" w:hAnsi="Times New Roman" w:cs="Times New Roman"/>
          <w:i/>
          <w:iCs/>
          <w:sz w:val="24"/>
          <w:szCs w:val="24"/>
        </w:rPr>
        <w:t>Incertae</w:t>
      </w:r>
      <w:proofErr w:type="spellEnd"/>
      <w:r w:rsidR="00265BEF" w:rsidRPr="0029466D">
        <w:rPr>
          <w:rFonts w:ascii="Times New Roman" w:hAnsi="Times New Roman" w:cs="Times New Roman"/>
          <w:i/>
          <w:iCs/>
          <w:sz w:val="24"/>
          <w:szCs w:val="24"/>
        </w:rPr>
        <w:t xml:space="preserve"> Sedis</w:t>
      </w:r>
      <w:r w:rsidR="00265BEF" w:rsidRPr="0029466D">
        <w:rPr>
          <w:rFonts w:ascii="Times New Roman" w:hAnsi="Times New Roman" w:cs="Times New Roman"/>
          <w:sz w:val="24"/>
          <w:szCs w:val="24"/>
        </w:rPr>
        <w:t xml:space="preserve"> </w:t>
      </w:r>
      <w:r w:rsidR="0029466D" w:rsidRPr="0029466D">
        <w:rPr>
          <w:rFonts w:ascii="Times New Roman" w:hAnsi="Times New Roman" w:cs="Times New Roman"/>
          <w:sz w:val="24"/>
          <w:szCs w:val="24"/>
        </w:rPr>
        <w:t>at</w:t>
      </w:r>
      <w:r w:rsidR="00265BEF" w:rsidRPr="0029466D">
        <w:rPr>
          <w:rFonts w:ascii="Times New Roman" w:hAnsi="Times New Roman" w:cs="Times New Roman"/>
          <w:sz w:val="24"/>
          <w:szCs w:val="24"/>
        </w:rPr>
        <w:t xml:space="preserve"> T0. </w:t>
      </w:r>
      <w:r w:rsidR="0029466D" w:rsidRPr="0029466D">
        <w:rPr>
          <w:rFonts w:ascii="Times New Roman" w:hAnsi="Times New Roman" w:cs="Times New Roman"/>
          <w:sz w:val="24"/>
          <w:szCs w:val="24"/>
        </w:rPr>
        <w:t xml:space="preserve">Overall, this study </w:t>
      </w:r>
      <w:proofErr w:type="spellStart"/>
      <w:r w:rsidR="0029466D" w:rsidRPr="0029466D">
        <w:rPr>
          <w:rFonts w:ascii="Times New Roman" w:hAnsi="Times New Roman" w:cs="Times New Roman"/>
          <w:sz w:val="24"/>
          <w:szCs w:val="24"/>
        </w:rPr>
        <w:t>shiws</w:t>
      </w:r>
      <w:proofErr w:type="spellEnd"/>
      <w:r w:rsidR="0029466D" w:rsidRPr="0029466D">
        <w:rPr>
          <w:rFonts w:ascii="Times New Roman" w:hAnsi="Times New Roman" w:cs="Times New Roman"/>
          <w:sz w:val="24"/>
          <w:szCs w:val="24"/>
        </w:rPr>
        <w:t xml:space="preserve"> that supplementation with </w:t>
      </w:r>
      <w:r w:rsidR="00265BEF" w:rsidRPr="0029466D">
        <w:rPr>
          <w:rFonts w:ascii="Times New Roman" w:hAnsi="Times New Roman" w:cs="Times New Roman"/>
          <w:i/>
          <w:iCs/>
          <w:sz w:val="24"/>
          <w:szCs w:val="24"/>
        </w:rPr>
        <w:t xml:space="preserve">Terminalia </w:t>
      </w:r>
      <w:proofErr w:type="spellStart"/>
      <w:r w:rsidR="00265BEF" w:rsidRPr="0029466D">
        <w:rPr>
          <w:rFonts w:ascii="Times New Roman" w:hAnsi="Times New Roman" w:cs="Times New Roman"/>
          <w:i/>
          <w:iCs/>
          <w:sz w:val="24"/>
          <w:szCs w:val="24"/>
        </w:rPr>
        <w:t>catappa</w:t>
      </w:r>
      <w:proofErr w:type="spellEnd"/>
      <w:r w:rsidR="00265BEF" w:rsidRPr="0029466D">
        <w:rPr>
          <w:rFonts w:ascii="Times New Roman" w:hAnsi="Times New Roman" w:cs="Times New Roman"/>
          <w:i/>
          <w:iCs/>
          <w:sz w:val="24"/>
          <w:szCs w:val="24"/>
        </w:rPr>
        <w:t xml:space="preserve"> </w:t>
      </w:r>
      <w:r w:rsidR="00265BEF" w:rsidRPr="0029466D">
        <w:rPr>
          <w:rFonts w:ascii="Times New Roman" w:hAnsi="Times New Roman" w:cs="Times New Roman"/>
          <w:sz w:val="24"/>
          <w:szCs w:val="24"/>
        </w:rPr>
        <w:t xml:space="preserve">L. </w:t>
      </w:r>
      <w:r w:rsidR="0029466D" w:rsidRPr="0029466D">
        <w:rPr>
          <w:rFonts w:ascii="Times New Roman" w:hAnsi="Times New Roman" w:cs="Times New Roman"/>
          <w:sz w:val="24"/>
          <w:szCs w:val="24"/>
        </w:rPr>
        <w:t>leaf extract at a</w:t>
      </w:r>
      <w:r w:rsidR="00265BEF" w:rsidRPr="0029466D">
        <w:rPr>
          <w:rFonts w:ascii="Times New Roman" w:hAnsi="Times New Roman" w:cs="Times New Roman"/>
          <w:sz w:val="24"/>
          <w:szCs w:val="24"/>
        </w:rPr>
        <w:t xml:space="preserve"> level 2% </w:t>
      </w:r>
      <w:r w:rsidR="0029466D" w:rsidRPr="0029466D">
        <w:rPr>
          <w:rFonts w:ascii="Times New Roman" w:hAnsi="Times New Roman" w:cs="Times New Roman"/>
          <w:sz w:val="24"/>
          <w:szCs w:val="24"/>
        </w:rPr>
        <w:t>has a significant effect on shifting the composition of goat rumen bacterial community, and supporting functional bacteria so that digestion of fiber can be carried out efficiently.</w:t>
      </w:r>
    </w:p>
    <w:p w14:paraId="178F2F53" w14:textId="77DC0A86" w:rsidR="00B81A7B" w:rsidRPr="00B81A7B" w:rsidRDefault="00265BEF" w:rsidP="00B81A7B">
      <w:pPr>
        <w:spacing w:before="240" w:line="360" w:lineRule="auto"/>
        <w:jc w:val="both"/>
        <w:rPr>
          <w:rFonts w:ascii="Times New Roman" w:hAnsi="Times New Roman" w:cs="Times New Roman"/>
          <w:bCs/>
          <w:i/>
          <w:iCs/>
          <w:sz w:val="24"/>
          <w:szCs w:val="24"/>
          <w:lang w:val="en-ID"/>
        </w:rPr>
      </w:pPr>
      <w:r w:rsidRPr="00D63610">
        <w:rPr>
          <w:rFonts w:ascii="Times New Roman" w:hAnsi="Times New Roman" w:cs="Times New Roman"/>
          <w:bCs/>
          <w:i/>
          <w:iCs/>
          <w:sz w:val="24"/>
          <w:szCs w:val="24"/>
          <w:lang w:val="en-ID"/>
        </w:rPr>
        <w:t>Keywords: 16S rRNA Amplicon Sequencing, Alpha Diversity, Beta Diversity, Bacterial Family Composition, Rumen Microbiota</w:t>
      </w:r>
      <w:r w:rsidR="00B81A7B">
        <w:rPr>
          <w:rFonts w:ascii="Times New Roman" w:hAnsi="Times New Roman" w:cs="Times New Roman"/>
          <w:bCs/>
          <w:i/>
          <w:iCs/>
          <w:sz w:val="24"/>
          <w:szCs w:val="24"/>
          <w:lang w:val="en-ID"/>
        </w:rPr>
        <w:t>.</w:t>
      </w:r>
    </w:p>
    <w:p w14:paraId="0EC9924D" w14:textId="77777777" w:rsidR="00265BEF" w:rsidRPr="00DD1826" w:rsidRDefault="00265BEF" w:rsidP="00265BEF">
      <w:pPr>
        <w:pStyle w:val="ListParagraph"/>
        <w:numPr>
          <w:ilvl w:val="0"/>
          <w:numId w:val="1"/>
        </w:numPr>
        <w:spacing w:line="360" w:lineRule="auto"/>
        <w:ind w:left="426" w:hanging="426"/>
        <w:rPr>
          <w:rFonts w:ascii="Times New Roman" w:hAnsi="Times New Roman" w:cs="Times New Roman"/>
          <w:b/>
          <w:bCs/>
          <w:sz w:val="24"/>
          <w:szCs w:val="24"/>
        </w:rPr>
      </w:pPr>
      <w:r w:rsidRPr="00DD1826">
        <w:rPr>
          <w:rFonts w:ascii="Times New Roman" w:hAnsi="Times New Roman" w:cs="Times New Roman"/>
          <w:b/>
          <w:bCs/>
          <w:sz w:val="24"/>
          <w:szCs w:val="24"/>
        </w:rPr>
        <w:t>INTRODUCTION</w:t>
      </w:r>
    </w:p>
    <w:p w14:paraId="65FE3B02" w14:textId="1445E0D8" w:rsidR="00265BEF" w:rsidRDefault="00852390" w:rsidP="00265BEF">
      <w:pPr>
        <w:pStyle w:val="ListParagraph"/>
        <w:spacing w:line="360" w:lineRule="auto"/>
        <w:ind w:left="0" w:firstLine="426"/>
        <w:jc w:val="both"/>
        <w:rPr>
          <w:rFonts w:ascii="Times New Roman" w:hAnsi="Times New Roman" w:cs="Times New Roman"/>
          <w:sz w:val="24"/>
          <w:szCs w:val="24"/>
        </w:rPr>
      </w:pPr>
      <w:r w:rsidRPr="00852390">
        <w:rPr>
          <w:rFonts w:ascii="Times New Roman" w:hAnsi="Times New Roman" w:cs="Times New Roman"/>
          <w:sz w:val="24"/>
          <w:szCs w:val="24"/>
        </w:rPr>
        <w:t xml:space="preserve">The rumen is an ecosystem for complex anaerobic microbes that functions as a fermentation center in the digestive system of ruminant livestock. The most dominant microorganisms in the rumen that are involved in feed fermentation in ruminant </w:t>
      </w:r>
      <w:proofErr w:type="spellStart"/>
      <w:r w:rsidRPr="00852390">
        <w:rPr>
          <w:rFonts w:ascii="Times New Roman" w:hAnsi="Times New Roman" w:cs="Times New Roman"/>
          <w:sz w:val="24"/>
          <w:szCs w:val="24"/>
        </w:rPr>
        <w:t>livestick</w:t>
      </w:r>
      <w:proofErr w:type="spellEnd"/>
      <w:r w:rsidRPr="00852390">
        <w:rPr>
          <w:rFonts w:ascii="Times New Roman" w:hAnsi="Times New Roman" w:cs="Times New Roman"/>
          <w:sz w:val="24"/>
          <w:szCs w:val="24"/>
        </w:rPr>
        <w:t xml:space="preserve"> are bacteria. Bacteria can decompose organic matter such as plant fiber so that it can be used as an energy source. The interaction between rumen bacteria enables the conversion of feed substrates into volatile fatty acids (VFA) as an energy source for ruminants</w:t>
      </w:r>
      <w:r w:rsidR="00265BEF" w:rsidRPr="00852390">
        <w:rPr>
          <w:rFonts w:ascii="Times New Roman" w:hAnsi="Times New Roman" w:cs="Times New Roman"/>
          <w:sz w:val="24"/>
          <w:szCs w:val="24"/>
        </w:rPr>
        <w:t xml:space="preserve"> (Xie </w:t>
      </w:r>
      <w:r w:rsidR="00265BEF" w:rsidRPr="00852390">
        <w:rPr>
          <w:rFonts w:ascii="Times New Roman" w:hAnsi="Times New Roman" w:cs="Times New Roman"/>
          <w:i/>
          <w:iCs/>
          <w:sz w:val="24"/>
          <w:szCs w:val="24"/>
        </w:rPr>
        <w:t xml:space="preserve">et al., </w:t>
      </w:r>
      <w:r w:rsidR="00265BEF" w:rsidRPr="00852390">
        <w:rPr>
          <w:rFonts w:ascii="Times New Roman" w:hAnsi="Times New Roman" w:cs="Times New Roman"/>
          <w:sz w:val="24"/>
          <w:szCs w:val="24"/>
        </w:rPr>
        <w:t xml:space="preserve">2025). </w:t>
      </w:r>
      <w:r w:rsidR="00E57005">
        <w:rPr>
          <w:rFonts w:ascii="Times New Roman" w:hAnsi="Times New Roman" w:cs="Times New Roman"/>
          <w:sz w:val="24"/>
          <w:szCs w:val="24"/>
        </w:rPr>
        <w:t xml:space="preserve">The composition and activity of the rumen bacterial community directly affect nutrient </w:t>
      </w:r>
      <w:r w:rsidR="00E57005">
        <w:rPr>
          <w:rFonts w:ascii="Times New Roman" w:hAnsi="Times New Roman" w:cs="Times New Roman"/>
          <w:sz w:val="24"/>
          <w:szCs w:val="24"/>
        </w:rPr>
        <w:lastRenderedPageBreak/>
        <w:t xml:space="preserve">metabolism, digestive efficiency, and livestock productivity, resulting in an impact on ruminant production. </w:t>
      </w:r>
      <w:r w:rsidR="00C87653">
        <w:rPr>
          <w:rFonts w:ascii="Times New Roman" w:hAnsi="Times New Roman" w:cs="Times New Roman"/>
          <w:sz w:val="24"/>
          <w:szCs w:val="24"/>
        </w:rPr>
        <w:t>The advancement of technology in the form of high-</w:t>
      </w:r>
      <w:proofErr w:type="spellStart"/>
      <w:r w:rsidR="00C87653">
        <w:rPr>
          <w:rFonts w:ascii="Times New Roman" w:hAnsi="Times New Roman" w:cs="Times New Roman"/>
          <w:sz w:val="24"/>
          <w:szCs w:val="24"/>
        </w:rPr>
        <w:t>throughtput</w:t>
      </w:r>
      <w:proofErr w:type="spellEnd"/>
      <w:r w:rsidR="00C87653">
        <w:rPr>
          <w:rFonts w:ascii="Times New Roman" w:hAnsi="Times New Roman" w:cs="Times New Roman"/>
          <w:sz w:val="24"/>
          <w:szCs w:val="24"/>
        </w:rPr>
        <w:t xml:space="preserve"> sequencing based on the 16S rRNA gene allows for the analysis of bacterial diversity without having to go through conventional microbial culture. The 16S rRNA gene approaches provide detailed information about changes in the composition and shifts in the bacterial community due to nutritional interventions. The Illumina </w:t>
      </w:r>
      <w:proofErr w:type="spellStart"/>
      <w:r w:rsidR="00C87653">
        <w:rPr>
          <w:rFonts w:ascii="Times New Roman" w:hAnsi="Times New Roman" w:cs="Times New Roman"/>
          <w:sz w:val="24"/>
          <w:szCs w:val="24"/>
        </w:rPr>
        <w:t>MiSeq</w:t>
      </w:r>
      <w:proofErr w:type="spellEnd"/>
      <w:r w:rsidR="00C87653">
        <w:rPr>
          <w:rFonts w:ascii="Times New Roman" w:hAnsi="Times New Roman" w:cs="Times New Roman"/>
          <w:sz w:val="24"/>
          <w:szCs w:val="24"/>
        </w:rPr>
        <w:t xml:space="preserve"> </w:t>
      </w:r>
      <w:proofErr w:type="spellStart"/>
      <w:r w:rsidR="00C87653">
        <w:rPr>
          <w:rFonts w:ascii="Times New Roman" w:hAnsi="Times New Roman" w:cs="Times New Roman"/>
          <w:sz w:val="24"/>
          <w:szCs w:val="24"/>
        </w:rPr>
        <w:t>plastform</w:t>
      </w:r>
      <w:proofErr w:type="spellEnd"/>
      <w:r w:rsidR="00C87653">
        <w:rPr>
          <w:rFonts w:ascii="Times New Roman" w:hAnsi="Times New Roman" w:cs="Times New Roman"/>
          <w:sz w:val="24"/>
          <w:szCs w:val="24"/>
        </w:rPr>
        <w:t xml:space="preserve"> and focus on the V3-V4 hypervariable </w:t>
      </w:r>
      <w:r w:rsidR="00C87653" w:rsidRPr="00C87653">
        <w:rPr>
          <w:rFonts w:ascii="Times New Roman" w:hAnsi="Times New Roman" w:cs="Times New Roman"/>
          <w:sz w:val="24"/>
          <w:szCs w:val="24"/>
        </w:rPr>
        <w:t xml:space="preserve">region were selected because of the balance between amplicon length and taxonomic resolution (Wang </w:t>
      </w:r>
      <w:r w:rsidR="00C87653" w:rsidRPr="00C87653">
        <w:rPr>
          <w:rFonts w:ascii="Times New Roman" w:hAnsi="Times New Roman" w:cs="Times New Roman"/>
          <w:i/>
          <w:iCs/>
          <w:sz w:val="24"/>
          <w:szCs w:val="24"/>
        </w:rPr>
        <w:t xml:space="preserve">et al., </w:t>
      </w:r>
      <w:r w:rsidR="00C87653" w:rsidRPr="00C87653">
        <w:rPr>
          <w:rFonts w:ascii="Times New Roman" w:hAnsi="Times New Roman" w:cs="Times New Roman"/>
          <w:sz w:val="24"/>
          <w:szCs w:val="24"/>
        </w:rPr>
        <w:t xml:space="preserve">2025).  </w:t>
      </w:r>
    </w:p>
    <w:p w14:paraId="315EE351" w14:textId="152457DB" w:rsidR="00265BEF" w:rsidRDefault="00EB328D" w:rsidP="002F0815">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An approach that is currently being developed to modulate rumen microbes involves s</w:t>
      </w:r>
      <w:r w:rsidR="002F0815">
        <w:rPr>
          <w:rFonts w:ascii="Times New Roman" w:hAnsi="Times New Roman" w:cs="Times New Roman"/>
          <w:sz w:val="24"/>
          <w:szCs w:val="24"/>
        </w:rPr>
        <w:t xml:space="preserve">upplementation with plant-based bioactive compounds as phytogenic feed additives. </w:t>
      </w:r>
      <w:r w:rsidR="002F0815" w:rsidRPr="002F0815">
        <w:rPr>
          <w:rFonts w:ascii="Times New Roman" w:hAnsi="Times New Roman" w:cs="Times New Roman"/>
          <w:i/>
          <w:iCs/>
          <w:sz w:val="24"/>
          <w:szCs w:val="24"/>
        </w:rPr>
        <w:t xml:space="preserve">Terminalia </w:t>
      </w:r>
      <w:proofErr w:type="spellStart"/>
      <w:r w:rsidR="002F0815" w:rsidRPr="002F0815">
        <w:rPr>
          <w:rFonts w:ascii="Times New Roman" w:hAnsi="Times New Roman" w:cs="Times New Roman"/>
          <w:i/>
          <w:iCs/>
          <w:sz w:val="24"/>
          <w:szCs w:val="24"/>
        </w:rPr>
        <w:t>catappa</w:t>
      </w:r>
      <w:proofErr w:type="spellEnd"/>
      <w:r w:rsidR="002F0815" w:rsidRPr="002F0815">
        <w:rPr>
          <w:rFonts w:ascii="Times New Roman" w:hAnsi="Times New Roman" w:cs="Times New Roman"/>
          <w:i/>
          <w:iCs/>
          <w:sz w:val="24"/>
          <w:szCs w:val="24"/>
        </w:rPr>
        <w:t xml:space="preserve"> </w:t>
      </w:r>
      <w:r w:rsidR="002F0815" w:rsidRPr="002F0815">
        <w:rPr>
          <w:rFonts w:ascii="Times New Roman" w:hAnsi="Times New Roman" w:cs="Times New Roman"/>
          <w:sz w:val="24"/>
          <w:szCs w:val="24"/>
        </w:rPr>
        <w:t>L. leaf extract contains bioactive compounds in the form of flavonoids and tannins, which are antimicrobials and antioxidants. These compounds are involved in inhibiting the growth of proteolytic bacteria and bacteria that produce excessive methane gas, as it supports the population of cellulolytic bacteria that are involved in fiber degradation</w:t>
      </w:r>
      <w:r w:rsidR="00265BEF" w:rsidRPr="002F0815">
        <w:rPr>
          <w:rFonts w:ascii="Times New Roman" w:hAnsi="Times New Roman" w:cs="Times New Roman"/>
          <w:sz w:val="24"/>
          <w:szCs w:val="24"/>
        </w:rPr>
        <w:t xml:space="preserve"> (Ku Vera </w:t>
      </w:r>
      <w:r w:rsidR="00265BEF" w:rsidRPr="002F0815">
        <w:rPr>
          <w:rFonts w:ascii="Times New Roman" w:hAnsi="Times New Roman" w:cs="Times New Roman"/>
          <w:i/>
          <w:iCs/>
          <w:sz w:val="24"/>
          <w:szCs w:val="24"/>
        </w:rPr>
        <w:t xml:space="preserve">et al., </w:t>
      </w:r>
      <w:r w:rsidR="00265BEF" w:rsidRPr="002F0815">
        <w:rPr>
          <w:rFonts w:ascii="Times New Roman" w:hAnsi="Times New Roman" w:cs="Times New Roman"/>
          <w:sz w:val="24"/>
          <w:szCs w:val="24"/>
        </w:rPr>
        <w:t xml:space="preserve">2020). </w:t>
      </w:r>
      <w:r w:rsidR="002F0815">
        <w:rPr>
          <w:rFonts w:ascii="Times New Roman" w:hAnsi="Times New Roman" w:cs="Times New Roman"/>
          <w:sz w:val="24"/>
          <w:szCs w:val="24"/>
        </w:rPr>
        <w:t xml:space="preserve">Although there have been some findings that have evaluated the effect of </w:t>
      </w:r>
      <w:r w:rsidR="002F0815" w:rsidRPr="002F0815">
        <w:rPr>
          <w:rFonts w:ascii="Times New Roman" w:hAnsi="Times New Roman" w:cs="Times New Roman"/>
          <w:sz w:val="24"/>
          <w:szCs w:val="24"/>
        </w:rPr>
        <w:t xml:space="preserve">plant extracts on microbial populations in the rumen, data </w:t>
      </w:r>
      <w:proofErr w:type="spellStart"/>
      <w:r w:rsidR="002F0815" w:rsidRPr="002F0815">
        <w:rPr>
          <w:rFonts w:ascii="Times New Roman" w:hAnsi="Times New Roman" w:cs="Times New Roman"/>
          <w:sz w:val="24"/>
          <w:szCs w:val="24"/>
        </w:rPr>
        <w:t>regrading</w:t>
      </w:r>
      <w:proofErr w:type="spellEnd"/>
      <w:r w:rsidR="002F0815" w:rsidRPr="002F0815">
        <w:rPr>
          <w:rFonts w:ascii="Times New Roman" w:hAnsi="Times New Roman" w:cs="Times New Roman"/>
          <w:sz w:val="24"/>
          <w:szCs w:val="24"/>
        </w:rPr>
        <w:t xml:space="preserve"> the supplementation of </w:t>
      </w:r>
      <w:r w:rsidR="00265BEF" w:rsidRPr="002F0815">
        <w:rPr>
          <w:rFonts w:ascii="Times New Roman" w:hAnsi="Times New Roman" w:cs="Times New Roman"/>
          <w:i/>
          <w:iCs/>
          <w:sz w:val="24"/>
          <w:szCs w:val="24"/>
        </w:rPr>
        <w:t xml:space="preserve">Terminalia </w:t>
      </w:r>
      <w:proofErr w:type="spellStart"/>
      <w:r w:rsidR="00265BEF" w:rsidRPr="002F0815">
        <w:rPr>
          <w:rFonts w:ascii="Times New Roman" w:hAnsi="Times New Roman" w:cs="Times New Roman"/>
          <w:i/>
          <w:iCs/>
          <w:sz w:val="24"/>
          <w:szCs w:val="24"/>
        </w:rPr>
        <w:t>catappa</w:t>
      </w:r>
      <w:proofErr w:type="spellEnd"/>
      <w:r w:rsidR="00265BEF" w:rsidRPr="002F0815">
        <w:rPr>
          <w:rFonts w:ascii="Times New Roman" w:hAnsi="Times New Roman" w:cs="Times New Roman"/>
          <w:i/>
          <w:iCs/>
          <w:sz w:val="24"/>
          <w:szCs w:val="24"/>
        </w:rPr>
        <w:t xml:space="preserve"> </w:t>
      </w:r>
      <w:r w:rsidR="00265BEF" w:rsidRPr="002F0815">
        <w:rPr>
          <w:rFonts w:ascii="Times New Roman" w:hAnsi="Times New Roman" w:cs="Times New Roman"/>
          <w:sz w:val="24"/>
          <w:szCs w:val="24"/>
        </w:rPr>
        <w:t>L.</w:t>
      </w:r>
      <w:r w:rsidR="00AF749C">
        <w:rPr>
          <w:rFonts w:ascii="Times New Roman" w:hAnsi="Times New Roman" w:cs="Times New Roman"/>
          <w:sz w:val="24"/>
          <w:szCs w:val="24"/>
        </w:rPr>
        <w:t xml:space="preserve"> </w:t>
      </w:r>
      <w:r w:rsidR="002F0815" w:rsidRPr="002F0815">
        <w:rPr>
          <w:rFonts w:ascii="Times New Roman" w:hAnsi="Times New Roman" w:cs="Times New Roman"/>
          <w:sz w:val="24"/>
          <w:szCs w:val="24"/>
        </w:rPr>
        <w:t>leaf on the composition and shift of rumen bacteria in goats are still limited, especially using the</w:t>
      </w:r>
      <w:r w:rsidR="00265BEF" w:rsidRPr="002F0815">
        <w:rPr>
          <w:rFonts w:ascii="Times New Roman" w:hAnsi="Times New Roman" w:cs="Times New Roman"/>
          <w:sz w:val="24"/>
          <w:szCs w:val="24"/>
        </w:rPr>
        <w:t xml:space="preserve"> 16S rRNA Amplicon Sequencing. </w:t>
      </w:r>
    </w:p>
    <w:p w14:paraId="54183AF9" w14:textId="52C9E356" w:rsidR="00ED5574" w:rsidRDefault="00AC0AC8" w:rsidP="00DC2EC5">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The 16S rRNA-based approaches will be comprehensive when combined with controlled and effective in vitro approaches. This approach uses goat rumen fluid as a fermentation model and is conducted in a laboratory so that it is more controlled to </w:t>
      </w:r>
      <w:proofErr w:type="spellStart"/>
      <w:r>
        <w:rPr>
          <w:rFonts w:ascii="Times New Roman" w:hAnsi="Times New Roman" w:cs="Times New Roman"/>
          <w:sz w:val="24"/>
          <w:szCs w:val="24"/>
        </w:rPr>
        <w:t>evaluaste</w:t>
      </w:r>
      <w:proofErr w:type="spellEnd"/>
      <w:r>
        <w:rPr>
          <w:rFonts w:ascii="Times New Roman" w:hAnsi="Times New Roman" w:cs="Times New Roman"/>
          <w:sz w:val="24"/>
          <w:szCs w:val="24"/>
        </w:rPr>
        <w:t xml:space="preserve"> the effect of feed supplementation on the rumen bacterial community. The aim of this study is to evaluate shifts in the composition of goat rumen </w:t>
      </w:r>
      <w:proofErr w:type="spellStart"/>
      <w:r>
        <w:rPr>
          <w:rFonts w:ascii="Times New Roman" w:hAnsi="Times New Roman" w:cs="Times New Roman"/>
          <w:sz w:val="24"/>
          <w:szCs w:val="24"/>
        </w:rPr>
        <w:t>bateria</w:t>
      </w:r>
      <w:proofErr w:type="spellEnd"/>
      <w:r>
        <w:rPr>
          <w:rFonts w:ascii="Times New Roman" w:hAnsi="Times New Roman" w:cs="Times New Roman"/>
          <w:sz w:val="24"/>
          <w:szCs w:val="24"/>
        </w:rPr>
        <w:t xml:space="preserve"> at the family level through in vitro incubation of feed supplemented with </w:t>
      </w:r>
      <w:r>
        <w:rPr>
          <w:rFonts w:ascii="Times New Roman" w:hAnsi="Times New Roman" w:cs="Times New Roman"/>
          <w:i/>
          <w:iCs/>
          <w:sz w:val="24"/>
          <w:szCs w:val="24"/>
        </w:rPr>
        <w:t xml:space="preserve">Terminalia </w:t>
      </w:r>
      <w:proofErr w:type="spellStart"/>
      <w:r>
        <w:rPr>
          <w:rFonts w:ascii="Times New Roman" w:hAnsi="Times New Roman" w:cs="Times New Roman"/>
          <w:i/>
          <w:iCs/>
          <w:sz w:val="24"/>
          <w:szCs w:val="24"/>
        </w:rPr>
        <w:t>catappa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leaf extract using the 16S rRNA. The findings of this study are hopefully able to </w:t>
      </w:r>
      <w:proofErr w:type="spellStart"/>
      <w:r>
        <w:rPr>
          <w:rFonts w:ascii="Times New Roman" w:hAnsi="Times New Roman" w:cs="Times New Roman"/>
          <w:sz w:val="24"/>
          <w:szCs w:val="24"/>
        </w:rPr>
        <w:t>contibute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scintific</w:t>
      </w:r>
      <w:proofErr w:type="spellEnd"/>
      <w:r>
        <w:rPr>
          <w:rFonts w:ascii="Times New Roman" w:hAnsi="Times New Roman" w:cs="Times New Roman"/>
          <w:sz w:val="24"/>
          <w:szCs w:val="24"/>
        </w:rPr>
        <w:t xml:space="preserve"> understanding and the utilization of the potential of </w:t>
      </w:r>
      <w:r>
        <w:rPr>
          <w:rFonts w:ascii="Times New Roman" w:hAnsi="Times New Roman" w:cs="Times New Roman"/>
          <w:i/>
          <w:iCs/>
          <w:sz w:val="24"/>
          <w:szCs w:val="24"/>
        </w:rPr>
        <w:t xml:space="preserve">Terminalia </w:t>
      </w:r>
      <w:proofErr w:type="spellStart"/>
      <w:r>
        <w:rPr>
          <w:rFonts w:ascii="Times New Roman" w:hAnsi="Times New Roman" w:cs="Times New Roman"/>
          <w:i/>
          <w:iCs/>
          <w:sz w:val="24"/>
          <w:szCs w:val="24"/>
        </w:rPr>
        <w:t>catappa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leaf extract in </w:t>
      </w:r>
      <w:proofErr w:type="spellStart"/>
      <w:r>
        <w:rPr>
          <w:rFonts w:ascii="Times New Roman" w:hAnsi="Times New Roman" w:cs="Times New Roman"/>
          <w:sz w:val="24"/>
          <w:szCs w:val="24"/>
        </w:rPr>
        <w:t>modulatig</w:t>
      </w:r>
      <w:proofErr w:type="spellEnd"/>
      <w:r>
        <w:rPr>
          <w:rFonts w:ascii="Times New Roman" w:hAnsi="Times New Roman" w:cs="Times New Roman"/>
          <w:sz w:val="24"/>
          <w:szCs w:val="24"/>
        </w:rPr>
        <w:t xml:space="preserve"> rumen microbes.</w:t>
      </w:r>
    </w:p>
    <w:p w14:paraId="30F92B23" w14:textId="77777777" w:rsidR="00DC2EC5" w:rsidRDefault="00DC2EC5" w:rsidP="00DC2EC5">
      <w:pPr>
        <w:pStyle w:val="ListParagraph"/>
        <w:spacing w:line="360" w:lineRule="auto"/>
        <w:ind w:left="0" w:firstLine="426"/>
        <w:jc w:val="both"/>
        <w:rPr>
          <w:rFonts w:ascii="Times New Roman" w:hAnsi="Times New Roman" w:cs="Times New Roman"/>
          <w:sz w:val="24"/>
          <w:szCs w:val="24"/>
        </w:rPr>
      </w:pPr>
    </w:p>
    <w:p w14:paraId="1B1FD15C" w14:textId="77777777" w:rsidR="00DC2EC5" w:rsidRDefault="00DC2EC5" w:rsidP="00DC2EC5">
      <w:pPr>
        <w:pStyle w:val="ListParagraph"/>
        <w:spacing w:line="360" w:lineRule="auto"/>
        <w:ind w:left="0" w:firstLine="426"/>
        <w:jc w:val="both"/>
        <w:rPr>
          <w:rFonts w:ascii="Times New Roman" w:hAnsi="Times New Roman" w:cs="Times New Roman"/>
          <w:sz w:val="24"/>
          <w:szCs w:val="24"/>
        </w:rPr>
      </w:pPr>
    </w:p>
    <w:p w14:paraId="1B6743C1" w14:textId="77777777" w:rsidR="00DC2EC5" w:rsidRPr="00DC2EC5" w:rsidRDefault="00DC2EC5" w:rsidP="00DC2EC5">
      <w:pPr>
        <w:pStyle w:val="ListParagraph"/>
        <w:spacing w:line="360" w:lineRule="auto"/>
        <w:ind w:left="0" w:firstLine="426"/>
        <w:jc w:val="both"/>
        <w:rPr>
          <w:rFonts w:ascii="Times New Roman" w:hAnsi="Times New Roman" w:cs="Times New Roman"/>
          <w:sz w:val="24"/>
          <w:szCs w:val="24"/>
        </w:rPr>
      </w:pPr>
    </w:p>
    <w:p w14:paraId="57172C00" w14:textId="77777777" w:rsidR="00265BEF" w:rsidRPr="00DE581E" w:rsidRDefault="00265BEF" w:rsidP="00265BEF">
      <w:pPr>
        <w:pStyle w:val="ListParagraph"/>
        <w:numPr>
          <w:ilvl w:val="0"/>
          <w:numId w:val="1"/>
        </w:numPr>
        <w:spacing w:line="360" w:lineRule="auto"/>
        <w:ind w:left="426" w:hanging="426"/>
        <w:rPr>
          <w:rFonts w:ascii="Times New Roman" w:hAnsi="Times New Roman" w:cs="Times New Roman"/>
          <w:b/>
          <w:bCs/>
          <w:sz w:val="24"/>
          <w:szCs w:val="24"/>
        </w:rPr>
      </w:pPr>
      <w:r w:rsidRPr="00DE581E">
        <w:rPr>
          <w:rFonts w:ascii="Times New Roman" w:hAnsi="Times New Roman" w:cs="Times New Roman"/>
          <w:b/>
          <w:bCs/>
          <w:sz w:val="24"/>
          <w:szCs w:val="24"/>
        </w:rPr>
        <w:t>MATERIAL AND METHODS</w:t>
      </w:r>
    </w:p>
    <w:p w14:paraId="2EFFD8D6" w14:textId="77777777" w:rsidR="00265BEF" w:rsidRPr="00DE581E" w:rsidRDefault="00265BEF" w:rsidP="00265BEF">
      <w:pPr>
        <w:pStyle w:val="ListParagraph"/>
        <w:numPr>
          <w:ilvl w:val="1"/>
          <w:numId w:val="1"/>
        </w:numPr>
        <w:spacing w:after="0" w:line="360" w:lineRule="auto"/>
        <w:ind w:left="426" w:hanging="426"/>
        <w:rPr>
          <w:rFonts w:ascii="Times New Roman" w:hAnsi="Times New Roman" w:cs="Times New Roman"/>
          <w:b/>
          <w:bCs/>
          <w:sz w:val="24"/>
          <w:szCs w:val="24"/>
        </w:rPr>
      </w:pPr>
      <w:r w:rsidRPr="00DE581E">
        <w:rPr>
          <w:rFonts w:ascii="Times New Roman" w:hAnsi="Times New Roman" w:cs="Times New Roman"/>
          <w:b/>
          <w:bCs/>
          <w:sz w:val="24"/>
          <w:szCs w:val="24"/>
        </w:rPr>
        <w:t xml:space="preserve">Source of Rumen Sample and </w:t>
      </w:r>
      <w:r w:rsidRPr="00DE581E">
        <w:rPr>
          <w:rFonts w:ascii="Times New Roman" w:hAnsi="Times New Roman" w:cs="Times New Roman"/>
          <w:b/>
          <w:bCs/>
          <w:i/>
          <w:iCs/>
          <w:sz w:val="24"/>
          <w:szCs w:val="24"/>
        </w:rPr>
        <w:t xml:space="preserve">Terminalia </w:t>
      </w:r>
      <w:proofErr w:type="spellStart"/>
      <w:r w:rsidRPr="00DE581E">
        <w:rPr>
          <w:rFonts w:ascii="Times New Roman" w:hAnsi="Times New Roman" w:cs="Times New Roman"/>
          <w:b/>
          <w:bCs/>
          <w:i/>
          <w:iCs/>
          <w:sz w:val="24"/>
          <w:szCs w:val="24"/>
        </w:rPr>
        <w:t>catappa</w:t>
      </w:r>
      <w:proofErr w:type="spellEnd"/>
      <w:r w:rsidRPr="00DE581E">
        <w:rPr>
          <w:rFonts w:ascii="Times New Roman" w:hAnsi="Times New Roman" w:cs="Times New Roman"/>
          <w:b/>
          <w:bCs/>
          <w:i/>
          <w:iCs/>
          <w:sz w:val="24"/>
          <w:szCs w:val="24"/>
        </w:rPr>
        <w:t xml:space="preserve"> </w:t>
      </w:r>
      <w:r w:rsidRPr="00DE581E">
        <w:rPr>
          <w:rFonts w:ascii="Times New Roman" w:hAnsi="Times New Roman" w:cs="Times New Roman"/>
          <w:b/>
          <w:bCs/>
          <w:sz w:val="24"/>
          <w:szCs w:val="24"/>
        </w:rPr>
        <w:t>L. Leaves</w:t>
      </w:r>
    </w:p>
    <w:p w14:paraId="282E659B" w14:textId="5506777E" w:rsidR="00265BEF" w:rsidRPr="008870B5" w:rsidRDefault="004214C3" w:rsidP="00265BEF">
      <w:pPr>
        <w:spacing w:line="360" w:lineRule="auto"/>
        <w:ind w:firstLine="426"/>
        <w:jc w:val="both"/>
        <w:rPr>
          <w:rFonts w:ascii="Times New Roman" w:hAnsi="Times New Roman" w:cs="Times New Roman"/>
          <w:sz w:val="24"/>
          <w:szCs w:val="24"/>
        </w:rPr>
      </w:pPr>
      <w:r w:rsidRPr="004214C3">
        <w:rPr>
          <w:rFonts w:ascii="Times New Roman" w:hAnsi="Times New Roman" w:cs="Times New Roman"/>
          <w:sz w:val="24"/>
          <w:szCs w:val="24"/>
        </w:rPr>
        <w:t>The rumen</w:t>
      </w:r>
      <w:r>
        <w:rPr>
          <w:rFonts w:ascii="Times New Roman" w:hAnsi="Times New Roman" w:cs="Times New Roman"/>
          <w:sz w:val="24"/>
          <w:szCs w:val="24"/>
        </w:rPr>
        <w:t xml:space="preserve"> fluid used in this study was goat rumen sourced from the </w:t>
      </w:r>
      <w:proofErr w:type="spellStart"/>
      <w:r>
        <w:rPr>
          <w:rFonts w:ascii="Times New Roman" w:hAnsi="Times New Roman" w:cs="Times New Roman"/>
          <w:sz w:val="24"/>
          <w:szCs w:val="24"/>
        </w:rPr>
        <w:t>Bustaman</w:t>
      </w:r>
      <w:proofErr w:type="spellEnd"/>
      <w:r>
        <w:rPr>
          <w:rFonts w:ascii="Times New Roman" w:hAnsi="Times New Roman" w:cs="Times New Roman"/>
          <w:sz w:val="24"/>
          <w:szCs w:val="24"/>
        </w:rPr>
        <w:t xml:space="preserve"> Slaughterhouse in Semarang City, Central Java, Indonesia. The rumen fluid collected after slaughter was placed in a vacuum flask dan immediately taken to the laboratory for in vitro </w:t>
      </w:r>
      <w:r>
        <w:rPr>
          <w:rFonts w:ascii="Times New Roman" w:hAnsi="Times New Roman" w:cs="Times New Roman"/>
          <w:sz w:val="24"/>
          <w:szCs w:val="24"/>
        </w:rPr>
        <w:lastRenderedPageBreak/>
        <w:t xml:space="preserve">fermentation. </w:t>
      </w:r>
      <w:r w:rsidR="008870B5">
        <w:rPr>
          <w:rFonts w:ascii="Times New Roman" w:hAnsi="Times New Roman" w:cs="Times New Roman"/>
          <w:sz w:val="24"/>
          <w:szCs w:val="24"/>
        </w:rPr>
        <w:t xml:space="preserve">Meanwhile, </w:t>
      </w:r>
      <w:r w:rsidR="008870B5">
        <w:rPr>
          <w:rFonts w:ascii="Times New Roman" w:hAnsi="Times New Roman" w:cs="Times New Roman"/>
          <w:i/>
          <w:iCs/>
          <w:sz w:val="24"/>
          <w:szCs w:val="24"/>
        </w:rPr>
        <w:t xml:space="preserve">Terminalia </w:t>
      </w:r>
      <w:proofErr w:type="spellStart"/>
      <w:r w:rsidR="008870B5">
        <w:rPr>
          <w:rFonts w:ascii="Times New Roman" w:hAnsi="Times New Roman" w:cs="Times New Roman"/>
          <w:i/>
          <w:iCs/>
          <w:sz w:val="24"/>
          <w:szCs w:val="24"/>
        </w:rPr>
        <w:t>catappa</w:t>
      </w:r>
      <w:proofErr w:type="spellEnd"/>
      <w:r w:rsidR="008870B5">
        <w:rPr>
          <w:rFonts w:ascii="Times New Roman" w:hAnsi="Times New Roman" w:cs="Times New Roman"/>
          <w:i/>
          <w:iCs/>
          <w:sz w:val="24"/>
          <w:szCs w:val="24"/>
        </w:rPr>
        <w:t xml:space="preserve"> </w:t>
      </w:r>
      <w:r w:rsidR="008870B5">
        <w:rPr>
          <w:rFonts w:ascii="Times New Roman" w:hAnsi="Times New Roman" w:cs="Times New Roman"/>
          <w:sz w:val="24"/>
          <w:szCs w:val="24"/>
        </w:rPr>
        <w:t>L.</w:t>
      </w:r>
      <w:r w:rsidR="006C7615">
        <w:rPr>
          <w:rFonts w:ascii="Times New Roman" w:hAnsi="Times New Roman" w:cs="Times New Roman"/>
          <w:sz w:val="24"/>
          <w:szCs w:val="24"/>
        </w:rPr>
        <w:t xml:space="preserve"> leaves were collected from the surrounding area of </w:t>
      </w:r>
      <w:proofErr w:type="spellStart"/>
      <w:r w:rsidR="006C7615">
        <w:rPr>
          <w:rFonts w:ascii="Times New Roman" w:hAnsi="Times New Roman" w:cs="Times New Roman"/>
          <w:sz w:val="24"/>
          <w:szCs w:val="24"/>
        </w:rPr>
        <w:t>Diponegoro</w:t>
      </w:r>
      <w:proofErr w:type="spellEnd"/>
      <w:r w:rsidR="006C7615">
        <w:rPr>
          <w:rFonts w:ascii="Times New Roman" w:hAnsi="Times New Roman" w:cs="Times New Roman"/>
          <w:sz w:val="24"/>
          <w:szCs w:val="24"/>
        </w:rPr>
        <w:t xml:space="preserve"> University, Semarang City, Central Java, Indonesia. The leaves used were dark green in color, with the </w:t>
      </w:r>
      <w:proofErr w:type="spellStart"/>
      <w:r w:rsidR="006C7615">
        <w:rPr>
          <w:rFonts w:ascii="Times New Roman" w:hAnsi="Times New Roman" w:cs="Times New Roman"/>
          <w:sz w:val="24"/>
          <w:szCs w:val="24"/>
        </w:rPr>
        <w:t>spesification</w:t>
      </w:r>
      <w:proofErr w:type="spellEnd"/>
      <w:r w:rsidR="006C7615">
        <w:rPr>
          <w:rFonts w:ascii="Times New Roman" w:hAnsi="Times New Roman" w:cs="Times New Roman"/>
          <w:sz w:val="24"/>
          <w:szCs w:val="24"/>
        </w:rPr>
        <w:t xml:space="preserve"> that the fifth leaf from the base was used. This was carried put so that the leaves used were uniform.</w:t>
      </w:r>
    </w:p>
    <w:p w14:paraId="16FCB950" w14:textId="2F72D928" w:rsidR="00265BEF" w:rsidRPr="006C7615"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6C7615">
        <w:rPr>
          <w:rFonts w:ascii="Times New Roman" w:hAnsi="Times New Roman" w:cs="Times New Roman"/>
          <w:b/>
          <w:bCs/>
          <w:sz w:val="24"/>
          <w:szCs w:val="24"/>
        </w:rPr>
        <w:t xml:space="preserve">Preparation of </w:t>
      </w:r>
      <w:r w:rsidRPr="006C7615">
        <w:rPr>
          <w:rFonts w:ascii="Times New Roman" w:hAnsi="Times New Roman" w:cs="Times New Roman"/>
          <w:b/>
          <w:bCs/>
          <w:i/>
          <w:iCs/>
          <w:sz w:val="24"/>
          <w:szCs w:val="24"/>
        </w:rPr>
        <w:t xml:space="preserve">Terminalia </w:t>
      </w:r>
      <w:proofErr w:type="spellStart"/>
      <w:r w:rsidR="008870B5" w:rsidRPr="006C7615">
        <w:rPr>
          <w:rFonts w:ascii="Times New Roman" w:hAnsi="Times New Roman" w:cs="Times New Roman"/>
          <w:b/>
          <w:bCs/>
          <w:i/>
          <w:iCs/>
          <w:sz w:val="24"/>
          <w:szCs w:val="24"/>
        </w:rPr>
        <w:t>c</w:t>
      </w:r>
      <w:r w:rsidRPr="006C7615">
        <w:rPr>
          <w:rFonts w:ascii="Times New Roman" w:hAnsi="Times New Roman" w:cs="Times New Roman"/>
          <w:b/>
          <w:bCs/>
          <w:i/>
          <w:iCs/>
          <w:sz w:val="24"/>
          <w:szCs w:val="24"/>
        </w:rPr>
        <w:t>atappa</w:t>
      </w:r>
      <w:proofErr w:type="spellEnd"/>
      <w:r w:rsidRPr="006C7615">
        <w:rPr>
          <w:rFonts w:ascii="Times New Roman" w:hAnsi="Times New Roman" w:cs="Times New Roman"/>
          <w:b/>
          <w:bCs/>
          <w:i/>
          <w:iCs/>
          <w:sz w:val="24"/>
          <w:szCs w:val="24"/>
        </w:rPr>
        <w:t xml:space="preserve"> </w:t>
      </w:r>
      <w:r w:rsidRPr="006C7615">
        <w:rPr>
          <w:rFonts w:ascii="Times New Roman" w:hAnsi="Times New Roman" w:cs="Times New Roman"/>
          <w:b/>
          <w:bCs/>
          <w:sz w:val="24"/>
          <w:szCs w:val="24"/>
        </w:rPr>
        <w:t>L. Leaf Extract</w:t>
      </w:r>
    </w:p>
    <w:p w14:paraId="785DE8E8" w14:textId="0C0A3348" w:rsidR="00265BEF" w:rsidRPr="006C7615" w:rsidRDefault="006C7615" w:rsidP="00265BEF">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i/>
          <w:iCs/>
          <w:sz w:val="24"/>
          <w:szCs w:val="24"/>
        </w:rPr>
        <w:t xml:space="preserve">Terminalia </w:t>
      </w:r>
      <w:proofErr w:type="spellStart"/>
      <w:r>
        <w:rPr>
          <w:rFonts w:ascii="Times New Roman" w:hAnsi="Times New Roman" w:cs="Times New Roman"/>
          <w:i/>
          <w:iCs/>
          <w:sz w:val="24"/>
          <w:szCs w:val="24"/>
        </w:rPr>
        <w:t>catappa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w:t>
      </w:r>
      <w:r w:rsidR="00265BEF" w:rsidRPr="006C7615">
        <w:rPr>
          <w:rFonts w:ascii="Times New Roman" w:hAnsi="Times New Roman" w:cs="Times New Roman"/>
          <w:sz w:val="24"/>
          <w:szCs w:val="24"/>
        </w:rPr>
        <w:t xml:space="preserve"> </w:t>
      </w:r>
      <w:r w:rsidR="004818F8">
        <w:rPr>
          <w:rFonts w:ascii="Times New Roman" w:hAnsi="Times New Roman" w:cs="Times New Roman"/>
          <w:sz w:val="24"/>
          <w:szCs w:val="24"/>
        </w:rPr>
        <w:t xml:space="preserve">leaves used in the study were fresh, dark green leaves that had been cleaned and separated from the leaf veins, and cut to a size of approximately 1-2 cm using </w:t>
      </w:r>
      <w:proofErr w:type="spellStart"/>
      <w:r w:rsidR="004818F8">
        <w:rPr>
          <w:rFonts w:ascii="Times New Roman" w:hAnsi="Times New Roman" w:cs="Times New Roman"/>
          <w:sz w:val="24"/>
          <w:szCs w:val="24"/>
        </w:rPr>
        <w:t>sciccors</w:t>
      </w:r>
      <w:proofErr w:type="spellEnd"/>
      <w:r w:rsidR="004818F8">
        <w:rPr>
          <w:rFonts w:ascii="Times New Roman" w:hAnsi="Times New Roman" w:cs="Times New Roman"/>
          <w:sz w:val="24"/>
          <w:szCs w:val="24"/>
        </w:rPr>
        <w:t xml:space="preserve"> to increase the extraction surface area. </w:t>
      </w:r>
      <w:r w:rsidR="00766891">
        <w:rPr>
          <w:rFonts w:ascii="Times New Roman" w:hAnsi="Times New Roman" w:cs="Times New Roman"/>
          <w:sz w:val="24"/>
          <w:szCs w:val="24"/>
        </w:rPr>
        <w:t xml:space="preserve">A total of 20 g of leaves were mixed with 300 mL of distilled water or </w:t>
      </w:r>
      <w:proofErr w:type="spellStart"/>
      <w:r w:rsidR="00766891">
        <w:rPr>
          <w:rFonts w:ascii="Times New Roman" w:hAnsi="Times New Roman" w:cs="Times New Roman"/>
          <w:sz w:val="24"/>
          <w:szCs w:val="24"/>
        </w:rPr>
        <w:t>aquadest</w:t>
      </w:r>
      <w:proofErr w:type="spellEnd"/>
      <w:r w:rsidR="00766891">
        <w:rPr>
          <w:rFonts w:ascii="Times New Roman" w:hAnsi="Times New Roman" w:cs="Times New Roman"/>
          <w:sz w:val="24"/>
          <w:szCs w:val="24"/>
        </w:rPr>
        <w:t xml:space="preserve">. The extraction </w:t>
      </w:r>
      <w:proofErr w:type="spellStart"/>
      <w:r w:rsidR="00766891">
        <w:rPr>
          <w:rFonts w:ascii="Times New Roman" w:hAnsi="Times New Roman" w:cs="Times New Roman"/>
          <w:sz w:val="24"/>
          <w:szCs w:val="24"/>
        </w:rPr>
        <w:t>methog</w:t>
      </w:r>
      <w:proofErr w:type="spellEnd"/>
      <w:r w:rsidR="00766891">
        <w:rPr>
          <w:rFonts w:ascii="Times New Roman" w:hAnsi="Times New Roman" w:cs="Times New Roman"/>
          <w:sz w:val="24"/>
          <w:szCs w:val="24"/>
        </w:rPr>
        <w:t xml:space="preserve"> used was on an electric stove until it boiled.</w:t>
      </w:r>
      <w:r w:rsidR="006C1C40">
        <w:rPr>
          <w:rFonts w:ascii="Times New Roman" w:hAnsi="Times New Roman" w:cs="Times New Roman"/>
          <w:sz w:val="24"/>
          <w:szCs w:val="24"/>
        </w:rPr>
        <w:t xml:space="preserve"> The distillation time began when the first extract</w:t>
      </w:r>
      <w:r w:rsidR="00B80352">
        <w:rPr>
          <w:rFonts w:ascii="Times New Roman" w:hAnsi="Times New Roman" w:cs="Times New Roman"/>
          <w:sz w:val="24"/>
          <w:szCs w:val="24"/>
        </w:rPr>
        <w:t xml:space="preserve"> </w:t>
      </w:r>
      <w:r w:rsidR="006C1C40">
        <w:rPr>
          <w:rFonts w:ascii="Times New Roman" w:hAnsi="Times New Roman" w:cs="Times New Roman"/>
          <w:sz w:val="24"/>
          <w:szCs w:val="24"/>
        </w:rPr>
        <w:t xml:space="preserve">droplets appeared. </w:t>
      </w:r>
      <w:r w:rsidR="00B80352">
        <w:rPr>
          <w:rFonts w:ascii="Times New Roman" w:hAnsi="Times New Roman" w:cs="Times New Roman"/>
          <w:sz w:val="24"/>
          <w:szCs w:val="24"/>
        </w:rPr>
        <w:t xml:space="preserve">After getting the desired extract volume, it was then collected in a sterile container and stored at room </w:t>
      </w:r>
      <w:proofErr w:type="spellStart"/>
      <w:r w:rsidR="00B80352">
        <w:rPr>
          <w:rFonts w:ascii="Times New Roman" w:hAnsi="Times New Roman" w:cs="Times New Roman"/>
          <w:sz w:val="24"/>
          <w:szCs w:val="24"/>
        </w:rPr>
        <w:t>temprature</w:t>
      </w:r>
      <w:proofErr w:type="spellEnd"/>
      <w:r w:rsidR="00B80352">
        <w:rPr>
          <w:rFonts w:ascii="Times New Roman" w:hAnsi="Times New Roman" w:cs="Times New Roman"/>
          <w:sz w:val="24"/>
          <w:szCs w:val="24"/>
        </w:rPr>
        <w:t xml:space="preserve"> and dark condition.</w:t>
      </w:r>
    </w:p>
    <w:p w14:paraId="45BD0AFC" w14:textId="77777777" w:rsidR="00265BEF" w:rsidRPr="00D45674" w:rsidRDefault="00265BEF" w:rsidP="00265BEF">
      <w:pPr>
        <w:pStyle w:val="ListParagraph"/>
        <w:spacing w:line="240" w:lineRule="auto"/>
        <w:ind w:left="0" w:firstLine="426"/>
        <w:jc w:val="both"/>
        <w:rPr>
          <w:rFonts w:ascii="Times New Roman" w:hAnsi="Times New Roman" w:cs="Times New Roman"/>
          <w:sz w:val="24"/>
          <w:szCs w:val="24"/>
        </w:rPr>
      </w:pPr>
    </w:p>
    <w:p w14:paraId="005B4562" w14:textId="77777777" w:rsidR="00265BEF" w:rsidRPr="00D45674"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D45674">
        <w:rPr>
          <w:rFonts w:ascii="Times New Roman" w:hAnsi="Times New Roman" w:cs="Times New Roman"/>
          <w:b/>
          <w:bCs/>
          <w:sz w:val="24"/>
          <w:szCs w:val="24"/>
        </w:rPr>
        <w:t xml:space="preserve">Ration Formulation </w:t>
      </w:r>
    </w:p>
    <w:p w14:paraId="4881804A" w14:textId="532BC62E" w:rsidR="00265BEF" w:rsidRDefault="00D54684" w:rsidP="00265BEF">
      <w:pPr>
        <w:pStyle w:val="ListParagraph"/>
        <w:spacing w:line="360" w:lineRule="auto"/>
        <w:ind w:left="0" w:firstLine="426"/>
        <w:jc w:val="both"/>
        <w:rPr>
          <w:rFonts w:ascii="Times New Roman" w:hAnsi="Times New Roman" w:cs="Times New Roman"/>
          <w:sz w:val="24"/>
          <w:szCs w:val="24"/>
        </w:rPr>
      </w:pPr>
      <w:r w:rsidRPr="00D45674">
        <w:rPr>
          <w:rFonts w:ascii="Times New Roman" w:hAnsi="Times New Roman" w:cs="Times New Roman"/>
          <w:sz w:val="24"/>
          <w:szCs w:val="24"/>
        </w:rPr>
        <w:t>The feed used in this study were in the ration from consisting of forage and concentrate with a ratio of 40% and 60%. The forage used was</w:t>
      </w:r>
      <w:r w:rsidR="00265BEF" w:rsidRPr="00D45674">
        <w:rPr>
          <w:rFonts w:ascii="Times New Roman" w:hAnsi="Times New Roman" w:cs="Times New Roman"/>
          <w:sz w:val="24"/>
          <w:szCs w:val="24"/>
        </w:rPr>
        <w:t xml:space="preserve"> dried </w:t>
      </w:r>
      <w:r w:rsidR="00265BEF" w:rsidRPr="00D45674">
        <w:rPr>
          <w:rFonts w:ascii="Times New Roman" w:hAnsi="Times New Roman" w:cs="Times New Roman"/>
          <w:i/>
          <w:iCs/>
          <w:sz w:val="24"/>
          <w:szCs w:val="24"/>
        </w:rPr>
        <w:t xml:space="preserve">Pennisetum purpureum </w:t>
      </w:r>
      <w:r w:rsidR="00265BEF" w:rsidRPr="00D45674">
        <w:rPr>
          <w:rFonts w:ascii="Times New Roman" w:hAnsi="Times New Roman" w:cs="Times New Roman"/>
          <w:sz w:val="24"/>
          <w:szCs w:val="24"/>
        </w:rPr>
        <w:t>cv. Mott (</w:t>
      </w:r>
      <w:proofErr w:type="spellStart"/>
      <w:r w:rsidR="00265BEF" w:rsidRPr="00D45674">
        <w:rPr>
          <w:rFonts w:ascii="Times New Roman" w:hAnsi="Times New Roman" w:cs="Times New Roman"/>
          <w:sz w:val="24"/>
          <w:szCs w:val="24"/>
        </w:rPr>
        <w:t>odot</w:t>
      </w:r>
      <w:proofErr w:type="spellEnd"/>
      <w:r w:rsidR="00265BEF" w:rsidRPr="00D45674">
        <w:rPr>
          <w:rFonts w:ascii="Times New Roman" w:hAnsi="Times New Roman" w:cs="Times New Roman"/>
          <w:sz w:val="24"/>
          <w:szCs w:val="24"/>
        </w:rPr>
        <w:t xml:space="preserve"> grass) </w:t>
      </w:r>
      <w:r w:rsidRPr="00D45674">
        <w:rPr>
          <w:rFonts w:ascii="Times New Roman" w:hAnsi="Times New Roman" w:cs="Times New Roman"/>
          <w:sz w:val="24"/>
          <w:szCs w:val="24"/>
        </w:rPr>
        <w:t>and concentrate was composed of</w:t>
      </w:r>
      <w:r w:rsidR="00265BEF" w:rsidRPr="00D45674">
        <w:rPr>
          <w:rFonts w:ascii="Times New Roman" w:hAnsi="Times New Roman" w:cs="Times New Roman"/>
          <w:sz w:val="24"/>
          <w:szCs w:val="24"/>
        </w:rPr>
        <w:t xml:space="preserve"> pollard, rice bran, cassava by-product (</w:t>
      </w:r>
      <w:proofErr w:type="spellStart"/>
      <w:r w:rsidR="00265BEF" w:rsidRPr="00D45674">
        <w:rPr>
          <w:rFonts w:ascii="Times New Roman" w:hAnsi="Times New Roman" w:cs="Times New Roman"/>
          <w:sz w:val="24"/>
          <w:szCs w:val="24"/>
        </w:rPr>
        <w:t>onggok</w:t>
      </w:r>
      <w:proofErr w:type="spellEnd"/>
      <w:r w:rsidR="00265BEF" w:rsidRPr="00D45674">
        <w:rPr>
          <w:rFonts w:ascii="Times New Roman" w:hAnsi="Times New Roman" w:cs="Times New Roman"/>
          <w:sz w:val="24"/>
          <w:szCs w:val="24"/>
        </w:rPr>
        <w:t xml:space="preserve">), copra meal, </w:t>
      </w:r>
      <w:r w:rsidR="00265BEF" w:rsidRPr="00D45674">
        <w:rPr>
          <w:rFonts w:ascii="Times New Roman" w:hAnsi="Times New Roman" w:cs="Times New Roman"/>
          <w:i/>
          <w:iCs/>
          <w:sz w:val="24"/>
          <w:szCs w:val="24"/>
        </w:rPr>
        <w:t xml:space="preserve">corn gluten feed </w:t>
      </w:r>
      <w:r w:rsidR="00265BEF" w:rsidRPr="00D45674">
        <w:rPr>
          <w:rFonts w:ascii="Times New Roman" w:hAnsi="Times New Roman" w:cs="Times New Roman"/>
          <w:sz w:val="24"/>
          <w:szCs w:val="24"/>
        </w:rPr>
        <w:t xml:space="preserve">(CGF), palm kernel meal, coffee husk, molasses, and mineral mix. </w:t>
      </w:r>
      <w:r w:rsidRPr="00D45674">
        <w:rPr>
          <w:rFonts w:ascii="Times New Roman" w:hAnsi="Times New Roman" w:cs="Times New Roman"/>
          <w:sz w:val="24"/>
          <w:szCs w:val="24"/>
        </w:rPr>
        <w:t>The feed formulation used is presented in</w:t>
      </w:r>
      <w:r w:rsidR="00265BEF" w:rsidRPr="00D45674">
        <w:rPr>
          <w:rFonts w:ascii="Times New Roman" w:hAnsi="Times New Roman" w:cs="Times New Roman"/>
          <w:sz w:val="24"/>
          <w:szCs w:val="24"/>
        </w:rPr>
        <w:t xml:space="preserve"> Tab</w:t>
      </w:r>
      <w:r w:rsidRPr="00D45674">
        <w:rPr>
          <w:rFonts w:ascii="Times New Roman" w:hAnsi="Times New Roman" w:cs="Times New Roman"/>
          <w:sz w:val="24"/>
          <w:szCs w:val="24"/>
        </w:rPr>
        <w:t>le</w:t>
      </w:r>
      <w:r w:rsidR="00265BEF" w:rsidRPr="00D45674">
        <w:rPr>
          <w:rFonts w:ascii="Times New Roman" w:hAnsi="Times New Roman" w:cs="Times New Roman"/>
          <w:sz w:val="24"/>
          <w:szCs w:val="24"/>
        </w:rPr>
        <w:t xml:space="preserve"> 1.</w:t>
      </w:r>
    </w:p>
    <w:p w14:paraId="4BCDD4B1"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792C6ED0"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0A73FC2E"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33CAF804"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78033F1D"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262AE119"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64A63AE1"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6DDFE8C8" w14:textId="77777777" w:rsidR="00FE2B87" w:rsidRDefault="00FE2B87" w:rsidP="00265BEF">
      <w:pPr>
        <w:pStyle w:val="ListParagraph"/>
        <w:spacing w:line="360" w:lineRule="auto"/>
        <w:ind w:left="0" w:firstLine="426"/>
        <w:jc w:val="both"/>
        <w:rPr>
          <w:rFonts w:ascii="Times New Roman" w:hAnsi="Times New Roman" w:cs="Times New Roman"/>
          <w:sz w:val="24"/>
          <w:szCs w:val="24"/>
        </w:rPr>
      </w:pPr>
    </w:p>
    <w:p w14:paraId="0613A539" w14:textId="77777777" w:rsidR="00FE2B87" w:rsidRPr="00D45674" w:rsidRDefault="00FE2B87" w:rsidP="00265BEF">
      <w:pPr>
        <w:pStyle w:val="ListParagraph"/>
        <w:spacing w:line="360" w:lineRule="auto"/>
        <w:ind w:left="0" w:firstLine="426"/>
        <w:jc w:val="both"/>
        <w:rPr>
          <w:rFonts w:ascii="Times New Roman" w:hAnsi="Times New Roman" w:cs="Times New Roman"/>
          <w:sz w:val="24"/>
          <w:szCs w:val="24"/>
        </w:rPr>
      </w:pPr>
    </w:p>
    <w:p w14:paraId="2B237FDC" w14:textId="77777777" w:rsidR="00265BEF" w:rsidRPr="00D45674" w:rsidRDefault="00265BEF" w:rsidP="00265BEF">
      <w:pPr>
        <w:pStyle w:val="ListParagraph"/>
        <w:spacing w:before="240" w:after="0" w:line="360" w:lineRule="auto"/>
        <w:ind w:left="426"/>
        <w:rPr>
          <w:rFonts w:ascii="Times New Roman" w:hAnsi="Times New Roman" w:cs="Times New Roman"/>
          <w:b/>
          <w:bCs/>
          <w:sz w:val="24"/>
          <w:szCs w:val="24"/>
        </w:rPr>
      </w:pPr>
      <w:r w:rsidRPr="00D45674">
        <w:rPr>
          <w:rFonts w:ascii="Times New Roman" w:hAnsi="Times New Roman" w:cs="Times New Roman"/>
          <w:sz w:val="24"/>
          <w:szCs w:val="24"/>
        </w:rPr>
        <w:t>Table 1. Ration Formulation and Nutrient Composition</w:t>
      </w:r>
    </w:p>
    <w:tbl>
      <w:tblPr>
        <w:tblW w:w="9038" w:type="dxa"/>
        <w:tblLook w:val="04A0" w:firstRow="1" w:lastRow="0" w:firstColumn="1" w:lastColumn="0" w:noHBand="0" w:noVBand="1"/>
      </w:tblPr>
      <w:tblGrid>
        <w:gridCol w:w="2158"/>
        <w:gridCol w:w="1457"/>
        <w:gridCol w:w="1202"/>
        <w:gridCol w:w="841"/>
        <w:gridCol w:w="841"/>
        <w:gridCol w:w="841"/>
        <w:gridCol w:w="841"/>
        <w:gridCol w:w="857"/>
      </w:tblGrid>
      <w:tr w:rsidR="00265BEF" w:rsidRPr="00D45674" w14:paraId="1A63DC34" w14:textId="77777777" w:rsidTr="00D92788">
        <w:trPr>
          <w:trHeight w:val="337"/>
        </w:trPr>
        <w:tc>
          <w:tcPr>
            <w:tcW w:w="2158" w:type="dxa"/>
            <w:vMerge w:val="restart"/>
            <w:tcBorders>
              <w:top w:val="single" w:sz="4" w:space="0" w:color="auto"/>
            </w:tcBorders>
            <w:vAlign w:val="center"/>
            <w:hideMark/>
          </w:tcPr>
          <w:p w14:paraId="0BECEF25"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Feed Ingredients</w:t>
            </w:r>
          </w:p>
        </w:tc>
        <w:tc>
          <w:tcPr>
            <w:tcW w:w="1457" w:type="dxa"/>
            <w:vMerge w:val="restart"/>
            <w:tcBorders>
              <w:top w:val="single" w:sz="4" w:space="0" w:color="auto"/>
            </w:tcBorders>
            <w:vAlign w:val="center"/>
            <w:hideMark/>
          </w:tcPr>
          <w:p w14:paraId="1B9F1837"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Composition</w:t>
            </w:r>
          </w:p>
        </w:tc>
        <w:tc>
          <w:tcPr>
            <w:tcW w:w="5423" w:type="dxa"/>
            <w:gridSpan w:val="6"/>
            <w:tcBorders>
              <w:top w:val="single" w:sz="4" w:space="0" w:color="auto"/>
              <w:bottom w:val="single" w:sz="4" w:space="0" w:color="auto"/>
            </w:tcBorders>
            <w:vAlign w:val="center"/>
            <w:hideMark/>
          </w:tcPr>
          <w:p w14:paraId="4170AB2E"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Nutrient Composition</w:t>
            </w:r>
          </w:p>
        </w:tc>
      </w:tr>
      <w:tr w:rsidR="00265BEF" w:rsidRPr="00D45674" w14:paraId="590E43DB" w14:textId="77777777" w:rsidTr="00D92788">
        <w:trPr>
          <w:trHeight w:val="337"/>
        </w:trPr>
        <w:tc>
          <w:tcPr>
            <w:tcW w:w="2158" w:type="dxa"/>
            <w:vMerge/>
            <w:vAlign w:val="center"/>
            <w:hideMark/>
          </w:tcPr>
          <w:p w14:paraId="04037E3A"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457" w:type="dxa"/>
            <w:vMerge/>
            <w:vAlign w:val="center"/>
            <w:hideMark/>
          </w:tcPr>
          <w:p w14:paraId="150E278D"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202" w:type="dxa"/>
            <w:tcBorders>
              <w:top w:val="single" w:sz="4" w:space="0" w:color="auto"/>
              <w:bottom w:val="single" w:sz="4" w:space="0" w:color="auto"/>
            </w:tcBorders>
            <w:vAlign w:val="center"/>
            <w:hideMark/>
          </w:tcPr>
          <w:p w14:paraId="5B1013B4"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MC</w:t>
            </w:r>
          </w:p>
        </w:tc>
        <w:tc>
          <w:tcPr>
            <w:tcW w:w="841" w:type="dxa"/>
            <w:tcBorders>
              <w:top w:val="single" w:sz="4" w:space="0" w:color="auto"/>
              <w:bottom w:val="single" w:sz="4" w:space="0" w:color="auto"/>
            </w:tcBorders>
            <w:vAlign w:val="center"/>
            <w:hideMark/>
          </w:tcPr>
          <w:p w14:paraId="12D0C52C"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Ash</w:t>
            </w:r>
          </w:p>
        </w:tc>
        <w:tc>
          <w:tcPr>
            <w:tcW w:w="841" w:type="dxa"/>
            <w:tcBorders>
              <w:top w:val="single" w:sz="4" w:space="0" w:color="auto"/>
              <w:bottom w:val="single" w:sz="4" w:space="0" w:color="auto"/>
            </w:tcBorders>
            <w:vAlign w:val="center"/>
            <w:hideMark/>
          </w:tcPr>
          <w:p w14:paraId="6E28E839"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CP</w:t>
            </w:r>
          </w:p>
        </w:tc>
        <w:tc>
          <w:tcPr>
            <w:tcW w:w="841" w:type="dxa"/>
            <w:tcBorders>
              <w:top w:val="single" w:sz="4" w:space="0" w:color="auto"/>
              <w:bottom w:val="single" w:sz="4" w:space="0" w:color="auto"/>
            </w:tcBorders>
            <w:vAlign w:val="center"/>
            <w:hideMark/>
          </w:tcPr>
          <w:p w14:paraId="3261B83C"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EE</w:t>
            </w:r>
          </w:p>
        </w:tc>
        <w:tc>
          <w:tcPr>
            <w:tcW w:w="841" w:type="dxa"/>
            <w:tcBorders>
              <w:top w:val="single" w:sz="4" w:space="0" w:color="auto"/>
              <w:bottom w:val="single" w:sz="4" w:space="0" w:color="auto"/>
            </w:tcBorders>
            <w:vAlign w:val="center"/>
            <w:hideMark/>
          </w:tcPr>
          <w:p w14:paraId="69E5B46E"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CF</w:t>
            </w:r>
          </w:p>
        </w:tc>
        <w:tc>
          <w:tcPr>
            <w:tcW w:w="857" w:type="dxa"/>
            <w:tcBorders>
              <w:top w:val="single" w:sz="4" w:space="0" w:color="auto"/>
              <w:bottom w:val="single" w:sz="4" w:space="0" w:color="auto"/>
            </w:tcBorders>
            <w:vAlign w:val="center"/>
            <w:hideMark/>
          </w:tcPr>
          <w:p w14:paraId="2C47C99D"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TDN</w:t>
            </w:r>
          </w:p>
        </w:tc>
      </w:tr>
      <w:tr w:rsidR="00265BEF" w:rsidRPr="00D45674" w14:paraId="0AD4A90D" w14:textId="77777777" w:rsidTr="00D92788">
        <w:trPr>
          <w:trHeight w:val="337"/>
        </w:trPr>
        <w:tc>
          <w:tcPr>
            <w:tcW w:w="2158" w:type="dxa"/>
            <w:vMerge/>
            <w:tcBorders>
              <w:bottom w:val="single" w:sz="4" w:space="0" w:color="auto"/>
            </w:tcBorders>
            <w:vAlign w:val="center"/>
          </w:tcPr>
          <w:p w14:paraId="134E0EC4"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457" w:type="dxa"/>
            <w:vMerge/>
            <w:tcBorders>
              <w:bottom w:val="single" w:sz="4" w:space="0" w:color="auto"/>
            </w:tcBorders>
            <w:vAlign w:val="center"/>
          </w:tcPr>
          <w:p w14:paraId="34991F64"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5423" w:type="dxa"/>
            <w:gridSpan w:val="6"/>
            <w:tcBorders>
              <w:top w:val="single" w:sz="4" w:space="0" w:color="auto"/>
              <w:bottom w:val="single" w:sz="4" w:space="0" w:color="auto"/>
            </w:tcBorders>
            <w:vAlign w:val="center"/>
          </w:tcPr>
          <w:p w14:paraId="7155FCEB"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 (%) ----------</w:t>
            </w:r>
          </w:p>
        </w:tc>
      </w:tr>
      <w:tr w:rsidR="00265BEF" w:rsidRPr="00D45674" w14:paraId="226A9129" w14:textId="77777777" w:rsidTr="00D92788">
        <w:trPr>
          <w:trHeight w:val="337"/>
        </w:trPr>
        <w:tc>
          <w:tcPr>
            <w:tcW w:w="2158" w:type="dxa"/>
            <w:tcBorders>
              <w:top w:val="single" w:sz="4" w:space="0" w:color="auto"/>
            </w:tcBorders>
            <w:vAlign w:val="center"/>
            <w:hideMark/>
          </w:tcPr>
          <w:p w14:paraId="1B661DEF"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 xml:space="preserve">Dried </w:t>
            </w:r>
            <w:proofErr w:type="spellStart"/>
            <w:r w:rsidRPr="00D45674">
              <w:rPr>
                <w:rFonts w:ascii="Times New Roman" w:eastAsia="Times New Roman" w:hAnsi="Times New Roman" w:cs="Times New Roman"/>
                <w:color w:val="000000"/>
                <w:kern w:val="0"/>
                <w:sz w:val="24"/>
                <w:szCs w:val="24"/>
                <w:lang w:val="en-ID" w:eastAsia="en-ID"/>
                <w14:ligatures w14:val="none"/>
              </w:rPr>
              <w:t>Odot</w:t>
            </w:r>
            <w:proofErr w:type="spellEnd"/>
            <w:r w:rsidRPr="00D45674">
              <w:rPr>
                <w:rFonts w:ascii="Times New Roman" w:eastAsia="Times New Roman" w:hAnsi="Times New Roman" w:cs="Times New Roman"/>
                <w:color w:val="000000"/>
                <w:kern w:val="0"/>
                <w:sz w:val="24"/>
                <w:szCs w:val="24"/>
                <w:lang w:val="en-ID" w:eastAsia="en-ID"/>
                <w14:ligatures w14:val="none"/>
              </w:rPr>
              <w:t xml:space="preserve"> Grass</w:t>
            </w:r>
          </w:p>
        </w:tc>
        <w:tc>
          <w:tcPr>
            <w:tcW w:w="1457" w:type="dxa"/>
            <w:tcBorders>
              <w:top w:val="single" w:sz="4" w:space="0" w:color="auto"/>
            </w:tcBorders>
            <w:vAlign w:val="center"/>
            <w:hideMark/>
          </w:tcPr>
          <w:p w14:paraId="379714DE"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40</w:t>
            </w:r>
          </w:p>
        </w:tc>
        <w:tc>
          <w:tcPr>
            <w:tcW w:w="1202" w:type="dxa"/>
            <w:tcBorders>
              <w:top w:val="single" w:sz="4" w:space="0" w:color="auto"/>
            </w:tcBorders>
            <w:vAlign w:val="center"/>
            <w:hideMark/>
          </w:tcPr>
          <w:p w14:paraId="3A086795"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11,98</w:t>
            </w:r>
          </w:p>
        </w:tc>
        <w:tc>
          <w:tcPr>
            <w:tcW w:w="841" w:type="dxa"/>
            <w:tcBorders>
              <w:top w:val="single" w:sz="4" w:space="0" w:color="auto"/>
            </w:tcBorders>
            <w:vAlign w:val="center"/>
            <w:hideMark/>
          </w:tcPr>
          <w:p w14:paraId="6F7A9E49"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13,78</w:t>
            </w:r>
          </w:p>
        </w:tc>
        <w:tc>
          <w:tcPr>
            <w:tcW w:w="841" w:type="dxa"/>
            <w:tcBorders>
              <w:top w:val="single" w:sz="4" w:space="0" w:color="auto"/>
            </w:tcBorders>
            <w:vAlign w:val="center"/>
            <w:hideMark/>
          </w:tcPr>
          <w:p w14:paraId="4E174A95"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14,63</w:t>
            </w:r>
          </w:p>
        </w:tc>
        <w:tc>
          <w:tcPr>
            <w:tcW w:w="841" w:type="dxa"/>
            <w:tcBorders>
              <w:top w:val="single" w:sz="4" w:space="0" w:color="auto"/>
            </w:tcBorders>
            <w:vAlign w:val="center"/>
            <w:hideMark/>
          </w:tcPr>
          <w:p w14:paraId="6E951DE7"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1,94</w:t>
            </w:r>
          </w:p>
        </w:tc>
        <w:tc>
          <w:tcPr>
            <w:tcW w:w="841" w:type="dxa"/>
            <w:tcBorders>
              <w:top w:val="single" w:sz="4" w:space="0" w:color="auto"/>
            </w:tcBorders>
            <w:vAlign w:val="center"/>
            <w:hideMark/>
          </w:tcPr>
          <w:p w14:paraId="69A916B5"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21,76</w:t>
            </w:r>
          </w:p>
        </w:tc>
        <w:tc>
          <w:tcPr>
            <w:tcW w:w="857" w:type="dxa"/>
            <w:tcBorders>
              <w:top w:val="single" w:sz="4" w:space="0" w:color="auto"/>
            </w:tcBorders>
            <w:vAlign w:val="center"/>
            <w:hideMark/>
          </w:tcPr>
          <w:p w14:paraId="16D91E42"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63,08</w:t>
            </w:r>
          </w:p>
        </w:tc>
      </w:tr>
      <w:tr w:rsidR="00265BEF" w:rsidRPr="00D45674" w14:paraId="69A73616" w14:textId="77777777" w:rsidTr="00D92788">
        <w:trPr>
          <w:trHeight w:val="337"/>
        </w:trPr>
        <w:tc>
          <w:tcPr>
            <w:tcW w:w="2158" w:type="dxa"/>
            <w:vAlign w:val="center"/>
            <w:hideMark/>
          </w:tcPr>
          <w:p w14:paraId="6D4F9ACC"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Pollard</w:t>
            </w:r>
          </w:p>
        </w:tc>
        <w:tc>
          <w:tcPr>
            <w:tcW w:w="1457" w:type="dxa"/>
            <w:vAlign w:val="center"/>
            <w:hideMark/>
          </w:tcPr>
          <w:p w14:paraId="21F27A33"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15</w:t>
            </w:r>
          </w:p>
        </w:tc>
        <w:tc>
          <w:tcPr>
            <w:tcW w:w="1202" w:type="dxa"/>
            <w:vAlign w:val="center"/>
            <w:hideMark/>
          </w:tcPr>
          <w:p w14:paraId="6E46B43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3,67</w:t>
            </w:r>
          </w:p>
        </w:tc>
        <w:tc>
          <w:tcPr>
            <w:tcW w:w="841" w:type="dxa"/>
            <w:vAlign w:val="center"/>
            <w:hideMark/>
          </w:tcPr>
          <w:p w14:paraId="297BA873"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4,90</w:t>
            </w:r>
          </w:p>
        </w:tc>
        <w:tc>
          <w:tcPr>
            <w:tcW w:w="841" w:type="dxa"/>
            <w:vAlign w:val="center"/>
            <w:hideMark/>
          </w:tcPr>
          <w:p w14:paraId="07FA05F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13,27</w:t>
            </w:r>
          </w:p>
        </w:tc>
        <w:tc>
          <w:tcPr>
            <w:tcW w:w="841" w:type="dxa"/>
            <w:vAlign w:val="center"/>
            <w:hideMark/>
          </w:tcPr>
          <w:p w14:paraId="1DC2B0F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2,74</w:t>
            </w:r>
          </w:p>
        </w:tc>
        <w:tc>
          <w:tcPr>
            <w:tcW w:w="841" w:type="dxa"/>
            <w:vAlign w:val="center"/>
            <w:hideMark/>
          </w:tcPr>
          <w:p w14:paraId="510ABE7A"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7,87</w:t>
            </w:r>
          </w:p>
        </w:tc>
        <w:tc>
          <w:tcPr>
            <w:tcW w:w="857" w:type="dxa"/>
            <w:vAlign w:val="center"/>
            <w:hideMark/>
          </w:tcPr>
          <w:p w14:paraId="243A3F9D"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80,14</w:t>
            </w:r>
          </w:p>
        </w:tc>
      </w:tr>
      <w:tr w:rsidR="00265BEF" w:rsidRPr="00D45674" w14:paraId="7002EB77" w14:textId="77777777" w:rsidTr="00D92788">
        <w:trPr>
          <w:trHeight w:val="337"/>
        </w:trPr>
        <w:tc>
          <w:tcPr>
            <w:tcW w:w="2158" w:type="dxa"/>
            <w:vAlign w:val="center"/>
            <w:hideMark/>
          </w:tcPr>
          <w:p w14:paraId="4ED2D1D8"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lastRenderedPageBreak/>
              <w:t>Rice Bran</w:t>
            </w:r>
          </w:p>
        </w:tc>
        <w:tc>
          <w:tcPr>
            <w:tcW w:w="1457" w:type="dxa"/>
            <w:vAlign w:val="center"/>
            <w:hideMark/>
          </w:tcPr>
          <w:p w14:paraId="08C91BDF"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5</w:t>
            </w:r>
          </w:p>
        </w:tc>
        <w:tc>
          <w:tcPr>
            <w:tcW w:w="1202" w:type="dxa"/>
            <w:vAlign w:val="center"/>
            <w:hideMark/>
          </w:tcPr>
          <w:p w14:paraId="263EE9AB"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8,50</w:t>
            </w:r>
          </w:p>
        </w:tc>
        <w:tc>
          <w:tcPr>
            <w:tcW w:w="841" w:type="dxa"/>
            <w:vAlign w:val="center"/>
            <w:hideMark/>
          </w:tcPr>
          <w:p w14:paraId="56970CAD"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16,30</w:t>
            </w:r>
          </w:p>
        </w:tc>
        <w:tc>
          <w:tcPr>
            <w:tcW w:w="841" w:type="dxa"/>
            <w:vAlign w:val="center"/>
            <w:hideMark/>
          </w:tcPr>
          <w:p w14:paraId="7BCE3497"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4,81</w:t>
            </w:r>
          </w:p>
        </w:tc>
        <w:tc>
          <w:tcPr>
            <w:tcW w:w="841" w:type="dxa"/>
            <w:vAlign w:val="center"/>
            <w:hideMark/>
          </w:tcPr>
          <w:p w14:paraId="30C48CB4"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1,25</w:t>
            </w:r>
          </w:p>
        </w:tc>
        <w:tc>
          <w:tcPr>
            <w:tcW w:w="841" w:type="dxa"/>
            <w:vAlign w:val="center"/>
            <w:hideMark/>
          </w:tcPr>
          <w:p w14:paraId="7F56950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11,18</w:t>
            </w:r>
          </w:p>
        </w:tc>
        <w:tc>
          <w:tcPr>
            <w:tcW w:w="857" w:type="dxa"/>
            <w:vAlign w:val="center"/>
            <w:hideMark/>
          </w:tcPr>
          <w:p w14:paraId="379F295F"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69,94</w:t>
            </w:r>
          </w:p>
        </w:tc>
      </w:tr>
      <w:tr w:rsidR="00265BEF" w:rsidRPr="00D45674" w14:paraId="689938E4" w14:textId="77777777" w:rsidTr="00D92788">
        <w:trPr>
          <w:trHeight w:val="337"/>
        </w:trPr>
        <w:tc>
          <w:tcPr>
            <w:tcW w:w="2158" w:type="dxa"/>
            <w:vAlign w:val="center"/>
            <w:hideMark/>
          </w:tcPr>
          <w:p w14:paraId="3B1018C9"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proofErr w:type="spellStart"/>
            <w:r w:rsidRPr="00D45674">
              <w:rPr>
                <w:rFonts w:ascii="Times New Roman" w:eastAsia="Times New Roman" w:hAnsi="Times New Roman" w:cs="Times New Roman"/>
                <w:color w:val="000000"/>
                <w:kern w:val="0"/>
                <w:sz w:val="24"/>
                <w:szCs w:val="24"/>
                <w:lang w:val="en-ID" w:eastAsia="en-ID"/>
                <w14:ligatures w14:val="none"/>
              </w:rPr>
              <w:t>Onggok</w:t>
            </w:r>
            <w:proofErr w:type="spellEnd"/>
          </w:p>
        </w:tc>
        <w:tc>
          <w:tcPr>
            <w:tcW w:w="1457" w:type="dxa"/>
            <w:vAlign w:val="center"/>
            <w:hideMark/>
          </w:tcPr>
          <w:p w14:paraId="7393A7DD"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5</w:t>
            </w:r>
          </w:p>
        </w:tc>
        <w:tc>
          <w:tcPr>
            <w:tcW w:w="1202" w:type="dxa"/>
            <w:vAlign w:val="center"/>
            <w:hideMark/>
          </w:tcPr>
          <w:p w14:paraId="029BC91E"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11,44</w:t>
            </w:r>
          </w:p>
        </w:tc>
        <w:tc>
          <w:tcPr>
            <w:tcW w:w="841" w:type="dxa"/>
            <w:vAlign w:val="center"/>
            <w:hideMark/>
          </w:tcPr>
          <w:p w14:paraId="2D7F32E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4,14</w:t>
            </w:r>
          </w:p>
        </w:tc>
        <w:tc>
          <w:tcPr>
            <w:tcW w:w="841" w:type="dxa"/>
            <w:vAlign w:val="center"/>
            <w:hideMark/>
          </w:tcPr>
          <w:p w14:paraId="03CFB75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5,92</w:t>
            </w:r>
          </w:p>
        </w:tc>
        <w:tc>
          <w:tcPr>
            <w:tcW w:w="841" w:type="dxa"/>
            <w:vAlign w:val="center"/>
            <w:hideMark/>
          </w:tcPr>
          <w:p w14:paraId="52B82CD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0,26</w:t>
            </w:r>
          </w:p>
        </w:tc>
        <w:tc>
          <w:tcPr>
            <w:tcW w:w="841" w:type="dxa"/>
            <w:vAlign w:val="center"/>
            <w:hideMark/>
          </w:tcPr>
          <w:p w14:paraId="7E9BFC9A"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42,85</w:t>
            </w:r>
          </w:p>
        </w:tc>
        <w:tc>
          <w:tcPr>
            <w:tcW w:w="857" w:type="dxa"/>
            <w:vAlign w:val="center"/>
            <w:hideMark/>
          </w:tcPr>
          <w:p w14:paraId="4136A65E"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71,14</w:t>
            </w:r>
          </w:p>
        </w:tc>
      </w:tr>
      <w:tr w:rsidR="00265BEF" w:rsidRPr="00D45674" w14:paraId="33FC80E2" w14:textId="77777777" w:rsidTr="00D92788">
        <w:trPr>
          <w:trHeight w:val="337"/>
        </w:trPr>
        <w:tc>
          <w:tcPr>
            <w:tcW w:w="2158" w:type="dxa"/>
            <w:vAlign w:val="center"/>
            <w:hideMark/>
          </w:tcPr>
          <w:p w14:paraId="59286D60"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Copra Meal</w:t>
            </w:r>
          </w:p>
        </w:tc>
        <w:tc>
          <w:tcPr>
            <w:tcW w:w="1457" w:type="dxa"/>
            <w:vAlign w:val="center"/>
            <w:hideMark/>
          </w:tcPr>
          <w:p w14:paraId="7EF8E0F3"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10</w:t>
            </w:r>
          </w:p>
        </w:tc>
        <w:tc>
          <w:tcPr>
            <w:tcW w:w="1202" w:type="dxa"/>
            <w:vAlign w:val="center"/>
            <w:hideMark/>
          </w:tcPr>
          <w:p w14:paraId="2CDACBC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14,58</w:t>
            </w:r>
          </w:p>
        </w:tc>
        <w:tc>
          <w:tcPr>
            <w:tcW w:w="841" w:type="dxa"/>
            <w:vAlign w:val="center"/>
            <w:hideMark/>
          </w:tcPr>
          <w:p w14:paraId="60C78028"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3,69</w:t>
            </w:r>
          </w:p>
        </w:tc>
        <w:tc>
          <w:tcPr>
            <w:tcW w:w="841" w:type="dxa"/>
            <w:vAlign w:val="center"/>
            <w:hideMark/>
          </w:tcPr>
          <w:p w14:paraId="608C5E96"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20,50</w:t>
            </w:r>
          </w:p>
        </w:tc>
        <w:tc>
          <w:tcPr>
            <w:tcW w:w="841" w:type="dxa"/>
            <w:vAlign w:val="center"/>
            <w:hideMark/>
          </w:tcPr>
          <w:p w14:paraId="04159B74"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2,21</w:t>
            </w:r>
          </w:p>
        </w:tc>
        <w:tc>
          <w:tcPr>
            <w:tcW w:w="841" w:type="dxa"/>
            <w:vAlign w:val="center"/>
            <w:hideMark/>
          </w:tcPr>
          <w:p w14:paraId="4BF96763"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18,80</w:t>
            </w:r>
          </w:p>
        </w:tc>
        <w:tc>
          <w:tcPr>
            <w:tcW w:w="857" w:type="dxa"/>
            <w:vAlign w:val="center"/>
            <w:hideMark/>
          </w:tcPr>
          <w:p w14:paraId="3A002E49"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74,81</w:t>
            </w:r>
          </w:p>
        </w:tc>
      </w:tr>
      <w:tr w:rsidR="00265BEF" w:rsidRPr="00D45674" w14:paraId="4008B139" w14:textId="77777777" w:rsidTr="00D92788">
        <w:trPr>
          <w:trHeight w:val="337"/>
        </w:trPr>
        <w:tc>
          <w:tcPr>
            <w:tcW w:w="2158" w:type="dxa"/>
            <w:vAlign w:val="center"/>
            <w:hideMark/>
          </w:tcPr>
          <w:p w14:paraId="78E93A2F"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CGF</w:t>
            </w:r>
          </w:p>
        </w:tc>
        <w:tc>
          <w:tcPr>
            <w:tcW w:w="1457" w:type="dxa"/>
            <w:vAlign w:val="center"/>
            <w:hideMark/>
          </w:tcPr>
          <w:p w14:paraId="266A2658"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12</w:t>
            </w:r>
          </w:p>
        </w:tc>
        <w:tc>
          <w:tcPr>
            <w:tcW w:w="1202" w:type="dxa"/>
            <w:vAlign w:val="center"/>
            <w:hideMark/>
          </w:tcPr>
          <w:p w14:paraId="514DCED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14,65</w:t>
            </w:r>
          </w:p>
        </w:tc>
        <w:tc>
          <w:tcPr>
            <w:tcW w:w="841" w:type="dxa"/>
            <w:vAlign w:val="center"/>
            <w:hideMark/>
          </w:tcPr>
          <w:p w14:paraId="31040164"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12,74</w:t>
            </w:r>
          </w:p>
        </w:tc>
        <w:tc>
          <w:tcPr>
            <w:tcW w:w="841" w:type="dxa"/>
            <w:vAlign w:val="center"/>
            <w:hideMark/>
          </w:tcPr>
          <w:p w14:paraId="01B62E87"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22,27</w:t>
            </w:r>
          </w:p>
        </w:tc>
        <w:tc>
          <w:tcPr>
            <w:tcW w:w="841" w:type="dxa"/>
            <w:vAlign w:val="center"/>
            <w:hideMark/>
          </w:tcPr>
          <w:p w14:paraId="4523925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14,69</w:t>
            </w:r>
          </w:p>
        </w:tc>
        <w:tc>
          <w:tcPr>
            <w:tcW w:w="841" w:type="dxa"/>
            <w:vAlign w:val="center"/>
            <w:hideMark/>
          </w:tcPr>
          <w:p w14:paraId="00B0D36C"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13,33</w:t>
            </w:r>
          </w:p>
        </w:tc>
        <w:tc>
          <w:tcPr>
            <w:tcW w:w="857" w:type="dxa"/>
            <w:vAlign w:val="center"/>
            <w:hideMark/>
          </w:tcPr>
          <w:p w14:paraId="1AAB7DE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77,41</w:t>
            </w:r>
          </w:p>
        </w:tc>
      </w:tr>
      <w:tr w:rsidR="00265BEF" w:rsidRPr="00D45674" w14:paraId="2ADE0DBA" w14:textId="77777777" w:rsidTr="00D92788">
        <w:trPr>
          <w:trHeight w:val="337"/>
        </w:trPr>
        <w:tc>
          <w:tcPr>
            <w:tcW w:w="2158" w:type="dxa"/>
            <w:vAlign w:val="center"/>
            <w:hideMark/>
          </w:tcPr>
          <w:p w14:paraId="2883BB8D"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Palm Kernel Meal</w:t>
            </w:r>
          </w:p>
        </w:tc>
        <w:tc>
          <w:tcPr>
            <w:tcW w:w="1457" w:type="dxa"/>
            <w:vAlign w:val="center"/>
            <w:hideMark/>
          </w:tcPr>
          <w:p w14:paraId="60BED84D"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w:t>
            </w:r>
          </w:p>
        </w:tc>
        <w:tc>
          <w:tcPr>
            <w:tcW w:w="1202" w:type="dxa"/>
            <w:vAlign w:val="center"/>
            <w:hideMark/>
          </w:tcPr>
          <w:p w14:paraId="147CF823"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8,87</w:t>
            </w:r>
          </w:p>
        </w:tc>
        <w:tc>
          <w:tcPr>
            <w:tcW w:w="841" w:type="dxa"/>
            <w:vAlign w:val="center"/>
            <w:hideMark/>
          </w:tcPr>
          <w:p w14:paraId="19481B5A"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3,36</w:t>
            </w:r>
          </w:p>
        </w:tc>
        <w:tc>
          <w:tcPr>
            <w:tcW w:w="841" w:type="dxa"/>
            <w:vAlign w:val="center"/>
            <w:hideMark/>
          </w:tcPr>
          <w:p w14:paraId="7E4E0DDB"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20,48</w:t>
            </w:r>
          </w:p>
        </w:tc>
        <w:tc>
          <w:tcPr>
            <w:tcW w:w="841" w:type="dxa"/>
            <w:vAlign w:val="center"/>
            <w:hideMark/>
          </w:tcPr>
          <w:p w14:paraId="1376735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4,21</w:t>
            </w:r>
          </w:p>
        </w:tc>
        <w:tc>
          <w:tcPr>
            <w:tcW w:w="841" w:type="dxa"/>
            <w:vAlign w:val="center"/>
            <w:hideMark/>
          </w:tcPr>
          <w:p w14:paraId="42327524"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48,77</w:t>
            </w:r>
          </w:p>
        </w:tc>
        <w:tc>
          <w:tcPr>
            <w:tcW w:w="857" w:type="dxa"/>
            <w:vAlign w:val="center"/>
            <w:hideMark/>
          </w:tcPr>
          <w:p w14:paraId="24C4BEF2"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65,27</w:t>
            </w:r>
          </w:p>
        </w:tc>
      </w:tr>
      <w:tr w:rsidR="00265BEF" w:rsidRPr="00D45674" w14:paraId="2D0F65AA" w14:textId="77777777" w:rsidTr="00D92788">
        <w:trPr>
          <w:trHeight w:val="337"/>
        </w:trPr>
        <w:tc>
          <w:tcPr>
            <w:tcW w:w="2158" w:type="dxa"/>
            <w:vAlign w:val="center"/>
            <w:hideMark/>
          </w:tcPr>
          <w:p w14:paraId="23C15ACF"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Coffee Husk</w:t>
            </w:r>
          </w:p>
        </w:tc>
        <w:tc>
          <w:tcPr>
            <w:tcW w:w="1457" w:type="dxa"/>
            <w:vAlign w:val="center"/>
            <w:hideMark/>
          </w:tcPr>
          <w:p w14:paraId="4BC5808E"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w:t>
            </w:r>
          </w:p>
        </w:tc>
        <w:tc>
          <w:tcPr>
            <w:tcW w:w="1202" w:type="dxa"/>
            <w:vAlign w:val="center"/>
            <w:hideMark/>
          </w:tcPr>
          <w:p w14:paraId="72E19AC1"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7,65</w:t>
            </w:r>
          </w:p>
        </w:tc>
        <w:tc>
          <w:tcPr>
            <w:tcW w:w="841" w:type="dxa"/>
            <w:vAlign w:val="center"/>
            <w:hideMark/>
          </w:tcPr>
          <w:p w14:paraId="53FACFC7"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3,36</w:t>
            </w:r>
          </w:p>
        </w:tc>
        <w:tc>
          <w:tcPr>
            <w:tcW w:w="841" w:type="dxa"/>
            <w:vAlign w:val="center"/>
            <w:hideMark/>
          </w:tcPr>
          <w:p w14:paraId="5801F443"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11,18</w:t>
            </w:r>
          </w:p>
        </w:tc>
        <w:tc>
          <w:tcPr>
            <w:tcW w:w="841" w:type="dxa"/>
            <w:vAlign w:val="center"/>
            <w:hideMark/>
          </w:tcPr>
          <w:p w14:paraId="5E04888D"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3,19</w:t>
            </w:r>
          </w:p>
        </w:tc>
        <w:tc>
          <w:tcPr>
            <w:tcW w:w="841" w:type="dxa"/>
            <w:vAlign w:val="center"/>
            <w:hideMark/>
          </w:tcPr>
          <w:p w14:paraId="6EF77DBC"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50,89</w:t>
            </w:r>
          </w:p>
        </w:tc>
        <w:tc>
          <w:tcPr>
            <w:tcW w:w="857" w:type="dxa"/>
            <w:vAlign w:val="center"/>
            <w:hideMark/>
          </w:tcPr>
          <w:p w14:paraId="279F8072"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63,99</w:t>
            </w:r>
          </w:p>
        </w:tc>
      </w:tr>
      <w:tr w:rsidR="00265BEF" w:rsidRPr="00D45674" w14:paraId="22F3A2F8" w14:textId="77777777" w:rsidTr="00D92788">
        <w:trPr>
          <w:trHeight w:val="337"/>
        </w:trPr>
        <w:tc>
          <w:tcPr>
            <w:tcW w:w="2158" w:type="dxa"/>
            <w:vAlign w:val="center"/>
            <w:hideMark/>
          </w:tcPr>
          <w:p w14:paraId="42BBF2D7"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Molasses</w:t>
            </w:r>
          </w:p>
        </w:tc>
        <w:tc>
          <w:tcPr>
            <w:tcW w:w="1457" w:type="dxa"/>
            <w:vAlign w:val="center"/>
            <w:hideMark/>
          </w:tcPr>
          <w:p w14:paraId="3F5FF1E8"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w:t>
            </w:r>
          </w:p>
        </w:tc>
        <w:tc>
          <w:tcPr>
            <w:tcW w:w="1202" w:type="dxa"/>
            <w:vAlign w:val="center"/>
            <w:hideMark/>
          </w:tcPr>
          <w:p w14:paraId="5ED015EA"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23,00</w:t>
            </w:r>
          </w:p>
        </w:tc>
        <w:tc>
          <w:tcPr>
            <w:tcW w:w="841" w:type="dxa"/>
            <w:vAlign w:val="center"/>
            <w:hideMark/>
          </w:tcPr>
          <w:p w14:paraId="6FE59A88"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0,20</w:t>
            </w:r>
          </w:p>
        </w:tc>
        <w:tc>
          <w:tcPr>
            <w:tcW w:w="841" w:type="dxa"/>
            <w:vAlign w:val="center"/>
            <w:hideMark/>
          </w:tcPr>
          <w:p w14:paraId="56663C28"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5,40</w:t>
            </w:r>
          </w:p>
        </w:tc>
        <w:tc>
          <w:tcPr>
            <w:tcW w:w="841" w:type="dxa"/>
            <w:vAlign w:val="center"/>
            <w:hideMark/>
          </w:tcPr>
          <w:p w14:paraId="2B1EA1F9"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0,20</w:t>
            </w:r>
          </w:p>
        </w:tc>
        <w:tc>
          <w:tcPr>
            <w:tcW w:w="841" w:type="dxa"/>
            <w:vAlign w:val="center"/>
            <w:hideMark/>
          </w:tcPr>
          <w:p w14:paraId="5138A652"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7,70</w:t>
            </w:r>
          </w:p>
        </w:tc>
        <w:tc>
          <w:tcPr>
            <w:tcW w:w="857" w:type="dxa"/>
            <w:vAlign w:val="center"/>
            <w:hideMark/>
          </w:tcPr>
          <w:p w14:paraId="055181F7"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66,62</w:t>
            </w:r>
          </w:p>
        </w:tc>
      </w:tr>
      <w:tr w:rsidR="00265BEF" w:rsidRPr="00D45674" w14:paraId="4DA69321" w14:textId="77777777" w:rsidTr="00D92788">
        <w:trPr>
          <w:trHeight w:val="337"/>
        </w:trPr>
        <w:tc>
          <w:tcPr>
            <w:tcW w:w="2158" w:type="dxa"/>
            <w:tcBorders>
              <w:bottom w:val="single" w:sz="4" w:space="0" w:color="auto"/>
            </w:tcBorders>
            <w:vAlign w:val="center"/>
            <w:hideMark/>
          </w:tcPr>
          <w:p w14:paraId="77BFCD72" w14:textId="77777777" w:rsidR="00265BEF" w:rsidRPr="00D45674" w:rsidRDefault="00265BEF" w:rsidP="00D92788">
            <w:pPr>
              <w:spacing w:after="0" w:line="240" w:lineRule="auto"/>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Mineral Mix</w:t>
            </w:r>
          </w:p>
        </w:tc>
        <w:tc>
          <w:tcPr>
            <w:tcW w:w="1457" w:type="dxa"/>
            <w:tcBorders>
              <w:bottom w:val="single" w:sz="4" w:space="0" w:color="auto"/>
            </w:tcBorders>
            <w:vAlign w:val="center"/>
            <w:hideMark/>
          </w:tcPr>
          <w:p w14:paraId="143987F3" w14:textId="77777777" w:rsidR="00265BEF" w:rsidRPr="00D45674" w:rsidRDefault="00265BEF" w:rsidP="00D92788">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1</w:t>
            </w:r>
          </w:p>
        </w:tc>
        <w:tc>
          <w:tcPr>
            <w:tcW w:w="1202" w:type="dxa"/>
            <w:tcBorders>
              <w:bottom w:val="single" w:sz="4" w:space="0" w:color="auto"/>
            </w:tcBorders>
            <w:vAlign w:val="center"/>
            <w:hideMark/>
          </w:tcPr>
          <w:p w14:paraId="7E2140BA"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0,00</w:t>
            </w:r>
          </w:p>
        </w:tc>
        <w:tc>
          <w:tcPr>
            <w:tcW w:w="841" w:type="dxa"/>
            <w:tcBorders>
              <w:bottom w:val="single" w:sz="4" w:space="0" w:color="auto"/>
            </w:tcBorders>
            <w:vAlign w:val="center"/>
            <w:hideMark/>
          </w:tcPr>
          <w:p w14:paraId="5CBD1C66"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39,10</w:t>
            </w:r>
          </w:p>
        </w:tc>
        <w:tc>
          <w:tcPr>
            <w:tcW w:w="841" w:type="dxa"/>
            <w:tcBorders>
              <w:bottom w:val="single" w:sz="4" w:space="0" w:color="auto"/>
            </w:tcBorders>
            <w:vAlign w:val="center"/>
            <w:hideMark/>
          </w:tcPr>
          <w:p w14:paraId="5DF76692"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0,00</w:t>
            </w:r>
          </w:p>
        </w:tc>
        <w:tc>
          <w:tcPr>
            <w:tcW w:w="841" w:type="dxa"/>
            <w:tcBorders>
              <w:bottom w:val="single" w:sz="4" w:space="0" w:color="auto"/>
            </w:tcBorders>
            <w:vAlign w:val="center"/>
            <w:hideMark/>
          </w:tcPr>
          <w:p w14:paraId="7726CFFE"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0,00</w:t>
            </w:r>
          </w:p>
        </w:tc>
        <w:tc>
          <w:tcPr>
            <w:tcW w:w="841" w:type="dxa"/>
            <w:tcBorders>
              <w:bottom w:val="single" w:sz="4" w:space="0" w:color="auto"/>
            </w:tcBorders>
            <w:vAlign w:val="center"/>
            <w:hideMark/>
          </w:tcPr>
          <w:p w14:paraId="27064520"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0,00</w:t>
            </w:r>
          </w:p>
        </w:tc>
        <w:tc>
          <w:tcPr>
            <w:tcW w:w="857" w:type="dxa"/>
            <w:tcBorders>
              <w:bottom w:val="single" w:sz="4" w:space="0" w:color="auto"/>
            </w:tcBorders>
            <w:vAlign w:val="center"/>
            <w:hideMark/>
          </w:tcPr>
          <w:p w14:paraId="3696AE39" w14:textId="77777777" w:rsidR="00265BEF" w:rsidRPr="00D45674" w:rsidRDefault="00265BEF" w:rsidP="00D92788">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45674">
              <w:rPr>
                <w:rFonts w:ascii="Times New Roman" w:eastAsia="Times New Roman" w:hAnsi="Times New Roman" w:cs="Times New Roman"/>
                <w:color w:val="000000"/>
                <w:kern w:val="0"/>
                <w:sz w:val="24"/>
                <w:szCs w:val="24"/>
                <w:lang w:val="en-ID" w:eastAsia="en-ID"/>
                <w14:ligatures w14:val="none"/>
              </w:rPr>
              <w:t>0,00</w:t>
            </w:r>
          </w:p>
        </w:tc>
      </w:tr>
    </w:tbl>
    <w:p w14:paraId="0A672B57" w14:textId="77777777" w:rsidR="00265BEF" w:rsidRPr="00D45674" w:rsidRDefault="00265BEF" w:rsidP="00265BEF">
      <w:pPr>
        <w:tabs>
          <w:tab w:val="left" w:pos="709"/>
          <w:tab w:val="left" w:pos="851"/>
        </w:tabs>
        <w:spacing w:after="0" w:line="240" w:lineRule="auto"/>
        <w:ind w:left="709" w:hanging="567"/>
        <w:jc w:val="both"/>
        <w:rPr>
          <w:rFonts w:ascii="Times New Roman" w:hAnsi="Times New Roman" w:cs="Times New Roman"/>
          <w:sz w:val="20"/>
          <w:szCs w:val="20"/>
        </w:rPr>
      </w:pPr>
      <w:r w:rsidRPr="00D45674">
        <w:rPr>
          <w:rFonts w:ascii="Times New Roman" w:hAnsi="Times New Roman" w:cs="Times New Roman"/>
          <w:sz w:val="20"/>
          <w:szCs w:val="20"/>
        </w:rPr>
        <w:t xml:space="preserve">Source: Result of laboratory analysis </w:t>
      </w:r>
      <w:proofErr w:type="spellStart"/>
      <w:r w:rsidRPr="00D45674">
        <w:rPr>
          <w:rFonts w:ascii="Times New Roman" w:hAnsi="Times New Roman" w:cs="Times New Roman"/>
          <w:sz w:val="20"/>
          <w:szCs w:val="20"/>
        </w:rPr>
        <w:t>conducated</w:t>
      </w:r>
      <w:proofErr w:type="spellEnd"/>
      <w:r w:rsidRPr="00D45674">
        <w:rPr>
          <w:rFonts w:ascii="Times New Roman" w:hAnsi="Times New Roman" w:cs="Times New Roman"/>
          <w:sz w:val="20"/>
          <w:szCs w:val="20"/>
        </w:rPr>
        <w:t xml:space="preserve"> at the Laboratory of Nutrition and Feed Sciences, Faculty of Animal and Agricultural Sciences, </w:t>
      </w:r>
      <w:proofErr w:type="spellStart"/>
      <w:r w:rsidRPr="00D45674">
        <w:rPr>
          <w:rFonts w:ascii="Times New Roman" w:hAnsi="Times New Roman" w:cs="Times New Roman"/>
          <w:sz w:val="20"/>
          <w:szCs w:val="20"/>
        </w:rPr>
        <w:t>Diponegoro</w:t>
      </w:r>
      <w:proofErr w:type="spellEnd"/>
      <w:r w:rsidRPr="00D45674">
        <w:rPr>
          <w:rFonts w:ascii="Times New Roman" w:hAnsi="Times New Roman" w:cs="Times New Roman"/>
          <w:sz w:val="20"/>
          <w:szCs w:val="20"/>
        </w:rPr>
        <w:t xml:space="preserve"> University (2025). Abbreviations: Moisture Content (MC), Ash, Crude Protein (CP), Ether Extract (EE), Crude Fiber (CF), and Total Digestible Nutrients (TDN).</w:t>
      </w:r>
    </w:p>
    <w:p w14:paraId="32F64D9F" w14:textId="77777777" w:rsidR="00265BEF" w:rsidRPr="00432A2A" w:rsidRDefault="00265BEF" w:rsidP="00265BEF">
      <w:pPr>
        <w:tabs>
          <w:tab w:val="left" w:pos="709"/>
          <w:tab w:val="left" w:pos="851"/>
        </w:tabs>
        <w:spacing w:after="0" w:line="240" w:lineRule="auto"/>
        <w:ind w:left="709" w:hanging="567"/>
        <w:jc w:val="both"/>
        <w:rPr>
          <w:rFonts w:ascii="Times New Roman" w:hAnsi="Times New Roman" w:cs="Times New Roman"/>
          <w:sz w:val="20"/>
          <w:szCs w:val="20"/>
          <w:highlight w:val="yellow"/>
        </w:rPr>
      </w:pPr>
    </w:p>
    <w:p w14:paraId="2E0C9C43" w14:textId="6638CA93" w:rsidR="00265BEF" w:rsidRDefault="00265BEF" w:rsidP="00265BEF">
      <w:pPr>
        <w:tabs>
          <w:tab w:val="left" w:pos="426"/>
          <w:tab w:val="left" w:pos="851"/>
        </w:tabs>
        <w:spacing w:after="0" w:line="360" w:lineRule="auto"/>
        <w:ind w:firstLine="142"/>
        <w:jc w:val="both"/>
        <w:rPr>
          <w:rFonts w:ascii="Times New Roman" w:hAnsi="Times New Roman" w:cs="Times New Roman"/>
          <w:sz w:val="24"/>
          <w:szCs w:val="24"/>
        </w:rPr>
      </w:pPr>
      <w:r w:rsidRPr="000B66A1">
        <w:rPr>
          <w:rFonts w:ascii="Times New Roman" w:hAnsi="Times New Roman" w:cs="Times New Roman"/>
          <w:sz w:val="20"/>
          <w:szCs w:val="20"/>
        </w:rPr>
        <w:tab/>
      </w:r>
      <w:r w:rsidR="00FE58B0" w:rsidRPr="000B66A1">
        <w:rPr>
          <w:rFonts w:ascii="Times New Roman" w:hAnsi="Times New Roman" w:cs="Times New Roman"/>
          <w:sz w:val="24"/>
          <w:szCs w:val="24"/>
        </w:rPr>
        <w:t xml:space="preserve">The formulation ration was then analyzed proximately to determine the nutrient content. </w:t>
      </w:r>
      <w:r w:rsidR="000B66A1" w:rsidRPr="000B66A1">
        <w:rPr>
          <w:rFonts w:ascii="Times New Roman" w:hAnsi="Times New Roman" w:cs="Times New Roman"/>
          <w:sz w:val="24"/>
          <w:szCs w:val="24"/>
        </w:rPr>
        <w:t>The ration was formulated with 15% CP and 68% TDN.</w:t>
      </w:r>
      <w:r w:rsidRPr="000B66A1">
        <w:rPr>
          <w:rFonts w:ascii="Times New Roman" w:hAnsi="Times New Roman" w:cs="Times New Roman"/>
          <w:sz w:val="24"/>
          <w:szCs w:val="24"/>
        </w:rPr>
        <w:t xml:space="preserve"> </w:t>
      </w:r>
      <w:r w:rsidR="000B66A1" w:rsidRPr="000B66A1">
        <w:rPr>
          <w:rFonts w:ascii="Times New Roman" w:hAnsi="Times New Roman" w:cs="Times New Roman"/>
          <w:sz w:val="24"/>
          <w:szCs w:val="24"/>
        </w:rPr>
        <w:t xml:space="preserve">The results of the proximate analysis of the dried </w:t>
      </w:r>
      <w:proofErr w:type="spellStart"/>
      <w:r w:rsidR="000B66A1" w:rsidRPr="000B66A1">
        <w:rPr>
          <w:rFonts w:ascii="Times New Roman" w:hAnsi="Times New Roman" w:cs="Times New Roman"/>
          <w:sz w:val="24"/>
          <w:szCs w:val="24"/>
        </w:rPr>
        <w:t>odot</w:t>
      </w:r>
      <w:proofErr w:type="spellEnd"/>
      <w:r w:rsidR="000B66A1" w:rsidRPr="000B66A1">
        <w:rPr>
          <w:rFonts w:ascii="Times New Roman" w:hAnsi="Times New Roman" w:cs="Times New Roman"/>
          <w:sz w:val="24"/>
          <w:szCs w:val="24"/>
        </w:rPr>
        <w:t xml:space="preserve"> grass, concentrate, and ration are presented in </w:t>
      </w:r>
      <w:r w:rsidRPr="000B66A1">
        <w:rPr>
          <w:rFonts w:ascii="Times New Roman" w:hAnsi="Times New Roman" w:cs="Times New Roman"/>
          <w:sz w:val="24"/>
          <w:szCs w:val="24"/>
        </w:rPr>
        <w:t>Tab</w:t>
      </w:r>
      <w:r w:rsidR="00FE58B0" w:rsidRPr="000B66A1">
        <w:rPr>
          <w:rFonts w:ascii="Times New Roman" w:hAnsi="Times New Roman" w:cs="Times New Roman"/>
          <w:sz w:val="24"/>
          <w:szCs w:val="24"/>
        </w:rPr>
        <w:t>le</w:t>
      </w:r>
      <w:r w:rsidRPr="000B66A1">
        <w:rPr>
          <w:rFonts w:ascii="Times New Roman" w:hAnsi="Times New Roman" w:cs="Times New Roman"/>
          <w:sz w:val="24"/>
          <w:szCs w:val="24"/>
        </w:rPr>
        <w:t xml:space="preserve"> 2.</w:t>
      </w:r>
    </w:p>
    <w:p w14:paraId="5BE84558" w14:textId="77777777" w:rsidR="00AB2625" w:rsidRPr="000B66A1" w:rsidRDefault="00AB2625" w:rsidP="00AB2625">
      <w:pPr>
        <w:tabs>
          <w:tab w:val="left" w:pos="426"/>
          <w:tab w:val="left" w:pos="851"/>
        </w:tabs>
        <w:spacing w:after="0" w:line="240" w:lineRule="auto"/>
        <w:ind w:firstLine="142"/>
        <w:jc w:val="both"/>
        <w:rPr>
          <w:rFonts w:ascii="Times New Roman" w:hAnsi="Times New Roman" w:cs="Times New Roman"/>
          <w:sz w:val="24"/>
          <w:szCs w:val="24"/>
        </w:rPr>
      </w:pPr>
    </w:p>
    <w:p w14:paraId="34D38577" w14:textId="77777777" w:rsidR="00265BEF" w:rsidRPr="00476EA2" w:rsidRDefault="00265BEF" w:rsidP="00265BEF">
      <w:pPr>
        <w:tabs>
          <w:tab w:val="left" w:pos="426"/>
          <w:tab w:val="left" w:pos="851"/>
        </w:tabs>
        <w:spacing w:after="0" w:line="360" w:lineRule="auto"/>
        <w:jc w:val="both"/>
        <w:rPr>
          <w:rFonts w:ascii="Times New Roman" w:hAnsi="Times New Roman" w:cs="Times New Roman"/>
          <w:sz w:val="24"/>
          <w:szCs w:val="24"/>
        </w:rPr>
      </w:pPr>
      <w:r w:rsidRPr="00476EA2">
        <w:rPr>
          <w:rFonts w:ascii="Times New Roman" w:hAnsi="Times New Roman" w:cs="Times New Roman"/>
          <w:sz w:val="24"/>
          <w:szCs w:val="24"/>
        </w:rPr>
        <w:tab/>
        <w:t xml:space="preserve">Table 2. Proximate Analysis of Dried </w:t>
      </w:r>
      <w:proofErr w:type="spellStart"/>
      <w:r w:rsidRPr="00476EA2">
        <w:rPr>
          <w:rFonts w:ascii="Times New Roman" w:hAnsi="Times New Roman" w:cs="Times New Roman"/>
          <w:sz w:val="24"/>
          <w:szCs w:val="24"/>
        </w:rPr>
        <w:t>Odot</w:t>
      </w:r>
      <w:proofErr w:type="spellEnd"/>
      <w:r w:rsidRPr="00476EA2">
        <w:rPr>
          <w:rFonts w:ascii="Times New Roman" w:hAnsi="Times New Roman" w:cs="Times New Roman"/>
          <w:sz w:val="24"/>
          <w:szCs w:val="24"/>
        </w:rPr>
        <w:t xml:space="preserve"> Grass, Concentrate, and Experimental Diet (Rations)</w:t>
      </w:r>
    </w:p>
    <w:tbl>
      <w:tblPr>
        <w:tblW w:w="9082" w:type="dxa"/>
        <w:tblLayout w:type="fixed"/>
        <w:tblCellMar>
          <w:left w:w="0" w:type="dxa"/>
          <w:right w:w="0" w:type="dxa"/>
        </w:tblCellMar>
        <w:tblLook w:val="01E0" w:firstRow="1" w:lastRow="1" w:firstColumn="1" w:lastColumn="1" w:noHBand="0" w:noVBand="0"/>
      </w:tblPr>
      <w:tblGrid>
        <w:gridCol w:w="1790"/>
        <w:gridCol w:w="1293"/>
        <w:gridCol w:w="1253"/>
        <w:gridCol w:w="1401"/>
        <w:gridCol w:w="869"/>
        <w:gridCol w:w="1207"/>
        <w:gridCol w:w="1269"/>
      </w:tblGrid>
      <w:tr w:rsidR="00265BEF" w:rsidRPr="00476EA2" w14:paraId="4D3C2F81" w14:textId="77777777" w:rsidTr="00D92788">
        <w:trPr>
          <w:trHeight w:val="316"/>
        </w:trPr>
        <w:tc>
          <w:tcPr>
            <w:tcW w:w="1790" w:type="dxa"/>
            <w:tcBorders>
              <w:top w:val="single" w:sz="4" w:space="0" w:color="auto"/>
            </w:tcBorders>
          </w:tcPr>
          <w:p w14:paraId="31B3F8E1" w14:textId="77777777" w:rsidR="00265BEF" w:rsidRPr="00476EA2" w:rsidRDefault="00265BEF" w:rsidP="00D92788">
            <w:pPr>
              <w:pStyle w:val="TableParagraph"/>
              <w:ind w:left="427"/>
              <w:jc w:val="left"/>
              <w:rPr>
                <w:spacing w:val="-2"/>
                <w:sz w:val="24"/>
              </w:rPr>
            </w:pPr>
          </w:p>
        </w:tc>
        <w:tc>
          <w:tcPr>
            <w:tcW w:w="7292" w:type="dxa"/>
            <w:gridSpan w:val="6"/>
            <w:tcBorders>
              <w:top w:val="single" w:sz="4" w:space="0" w:color="auto"/>
              <w:bottom w:val="single" w:sz="4" w:space="0" w:color="000000"/>
            </w:tcBorders>
          </w:tcPr>
          <w:p w14:paraId="605F90A0" w14:textId="77777777" w:rsidR="00265BEF" w:rsidRPr="00476EA2" w:rsidRDefault="00265BEF" w:rsidP="00D92788">
            <w:pPr>
              <w:pStyle w:val="TableParagraph"/>
              <w:ind w:left="1" w:right="33"/>
              <w:rPr>
                <w:spacing w:val="-5"/>
                <w:sz w:val="24"/>
              </w:rPr>
            </w:pPr>
            <w:r w:rsidRPr="00476EA2">
              <w:rPr>
                <w:color w:val="000000"/>
                <w:sz w:val="24"/>
                <w:szCs w:val="24"/>
                <w:lang w:val="en-ID" w:eastAsia="en-ID"/>
                <w14:ligatures w14:val="none"/>
              </w:rPr>
              <w:t>Nutrient Composition</w:t>
            </w:r>
          </w:p>
        </w:tc>
      </w:tr>
      <w:tr w:rsidR="00265BEF" w:rsidRPr="00476EA2" w14:paraId="53023017" w14:textId="77777777" w:rsidTr="00D92788">
        <w:trPr>
          <w:trHeight w:val="316"/>
        </w:trPr>
        <w:tc>
          <w:tcPr>
            <w:tcW w:w="1790" w:type="dxa"/>
          </w:tcPr>
          <w:p w14:paraId="18F7387D" w14:textId="77777777" w:rsidR="00265BEF" w:rsidRPr="00476EA2" w:rsidRDefault="00265BEF" w:rsidP="00D92788">
            <w:pPr>
              <w:pStyle w:val="TableParagraph"/>
              <w:ind w:left="427"/>
              <w:jc w:val="left"/>
              <w:rPr>
                <w:sz w:val="24"/>
              </w:rPr>
            </w:pPr>
            <w:r w:rsidRPr="00476EA2">
              <w:rPr>
                <w:color w:val="000000"/>
                <w:sz w:val="24"/>
                <w:szCs w:val="24"/>
                <w:lang w:val="en-ID" w:eastAsia="en-ID"/>
                <w14:ligatures w14:val="none"/>
              </w:rPr>
              <w:t>Ingredients</w:t>
            </w:r>
          </w:p>
        </w:tc>
        <w:tc>
          <w:tcPr>
            <w:tcW w:w="1293" w:type="dxa"/>
            <w:tcBorders>
              <w:top w:val="single" w:sz="4" w:space="0" w:color="000000"/>
              <w:bottom w:val="single" w:sz="4" w:space="0" w:color="000000"/>
            </w:tcBorders>
            <w:vAlign w:val="center"/>
          </w:tcPr>
          <w:p w14:paraId="5F3ED7F8" w14:textId="77777777" w:rsidR="00265BEF" w:rsidRPr="00476EA2" w:rsidRDefault="00265BEF" w:rsidP="00D92788">
            <w:pPr>
              <w:pStyle w:val="TableParagraph"/>
              <w:ind w:left="3"/>
              <w:rPr>
                <w:sz w:val="24"/>
              </w:rPr>
            </w:pPr>
            <w:r w:rsidRPr="00476EA2">
              <w:rPr>
                <w:color w:val="000000"/>
                <w:sz w:val="24"/>
                <w:szCs w:val="24"/>
                <w:lang w:val="en-ID" w:eastAsia="en-ID"/>
                <w14:ligatures w14:val="none"/>
              </w:rPr>
              <w:t>MC</w:t>
            </w:r>
          </w:p>
        </w:tc>
        <w:tc>
          <w:tcPr>
            <w:tcW w:w="1253" w:type="dxa"/>
            <w:tcBorders>
              <w:top w:val="single" w:sz="4" w:space="0" w:color="000000"/>
              <w:bottom w:val="single" w:sz="4" w:space="0" w:color="000000"/>
            </w:tcBorders>
            <w:vAlign w:val="center"/>
          </w:tcPr>
          <w:p w14:paraId="08F026A7" w14:textId="77777777" w:rsidR="00265BEF" w:rsidRPr="00476EA2" w:rsidRDefault="00265BEF" w:rsidP="00D92788">
            <w:pPr>
              <w:pStyle w:val="TableParagraph"/>
              <w:ind w:left="37"/>
              <w:rPr>
                <w:sz w:val="24"/>
              </w:rPr>
            </w:pPr>
            <w:r w:rsidRPr="00476EA2">
              <w:rPr>
                <w:color w:val="000000"/>
                <w:sz w:val="24"/>
                <w:szCs w:val="24"/>
                <w:lang w:val="en-ID" w:eastAsia="en-ID"/>
                <w14:ligatures w14:val="none"/>
              </w:rPr>
              <w:t>Ash</w:t>
            </w:r>
          </w:p>
        </w:tc>
        <w:tc>
          <w:tcPr>
            <w:tcW w:w="1401" w:type="dxa"/>
            <w:tcBorders>
              <w:top w:val="single" w:sz="4" w:space="0" w:color="000000"/>
              <w:bottom w:val="single" w:sz="4" w:space="0" w:color="000000"/>
            </w:tcBorders>
            <w:vAlign w:val="center"/>
          </w:tcPr>
          <w:p w14:paraId="00079B2E" w14:textId="77777777" w:rsidR="00265BEF" w:rsidRPr="00476EA2" w:rsidRDefault="00265BEF" w:rsidP="00D92788">
            <w:pPr>
              <w:pStyle w:val="TableParagraph"/>
              <w:ind w:left="378"/>
              <w:jc w:val="left"/>
              <w:rPr>
                <w:sz w:val="24"/>
              </w:rPr>
            </w:pPr>
            <w:r w:rsidRPr="00476EA2">
              <w:rPr>
                <w:color w:val="000000"/>
                <w:sz w:val="24"/>
                <w:szCs w:val="24"/>
                <w:lang w:val="en-ID" w:eastAsia="en-ID"/>
                <w14:ligatures w14:val="none"/>
              </w:rPr>
              <w:t>CP</w:t>
            </w:r>
          </w:p>
        </w:tc>
        <w:tc>
          <w:tcPr>
            <w:tcW w:w="869" w:type="dxa"/>
            <w:tcBorders>
              <w:top w:val="single" w:sz="4" w:space="0" w:color="000000"/>
              <w:bottom w:val="single" w:sz="4" w:space="0" w:color="000000"/>
            </w:tcBorders>
            <w:vAlign w:val="center"/>
          </w:tcPr>
          <w:p w14:paraId="3ED8E444" w14:textId="77777777" w:rsidR="00265BEF" w:rsidRPr="00476EA2" w:rsidRDefault="00265BEF" w:rsidP="00D92788">
            <w:pPr>
              <w:pStyle w:val="TableParagraph"/>
              <w:ind w:left="137"/>
              <w:jc w:val="left"/>
              <w:rPr>
                <w:sz w:val="24"/>
              </w:rPr>
            </w:pPr>
            <w:r w:rsidRPr="00476EA2">
              <w:rPr>
                <w:color w:val="000000"/>
                <w:sz w:val="24"/>
                <w:szCs w:val="24"/>
                <w:lang w:val="en-ID" w:eastAsia="en-ID"/>
                <w14:ligatures w14:val="none"/>
              </w:rPr>
              <w:t>EE</w:t>
            </w:r>
          </w:p>
        </w:tc>
        <w:tc>
          <w:tcPr>
            <w:tcW w:w="1207" w:type="dxa"/>
            <w:tcBorders>
              <w:top w:val="single" w:sz="4" w:space="0" w:color="000000"/>
              <w:bottom w:val="single" w:sz="4" w:space="0" w:color="000000"/>
            </w:tcBorders>
            <w:vAlign w:val="center"/>
          </w:tcPr>
          <w:p w14:paraId="21B9D328" w14:textId="77777777" w:rsidR="00265BEF" w:rsidRPr="00476EA2" w:rsidRDefault="00265BEF" w:rsidP="00D92788">
            <w:pPr>
              <w:pStyle w:val="TableParagraph"/>
              <w:ind w:left="2" w:right="4"/>
              <w:rPr>
                <w:sz w:val="24"/>
              </w:rPr>
            </w:pPr>
            <w:r w:rsidRPr="00476EA2">
              <w:rPr>
                <w:color w:val="000000"/>
                <w:sz w:val="24"/>
                <w:szCs w:val="24"/>
                <w:lang w:val="en-ID" w:eastAsia="en-ID"/>
                <w14:ligatures w14:val="none"/>
              </w:rPr>
              <w:t>CF</w:t>
            </w:r>
          </w:p>
        </w:tc>
        <w:tc>
          <w:tcPr>
            <w:tcW w:w="1266" w:type="dxa"/>
            <w:tcBorders>
              <w:top w:val="single" w:sz="4" w:space="0" w:color="000000"/>
              <w:bottom w:val="single" w:sz="4" w:space="0" w:color="000000"/>
            </w:tcBorders>
            <w:vAlign w:val="center"/>
          </w:tcPr>
          <w:p w14:paraId="70E66D76" w14:textId="77777777" w:rsidR="00265BEF" w:rsidRPr="00476EA2" w:rsidRDefault="00265BEF" w:rsidP="00D92788">
            <w:pPr>
              <w:pStyle w:val="TableParagraph"/>
              <w:ind w:left="1" w:right="33"/>
              <w:rPr>
                <w:sz w:val="24"/>
              </w:rPr>
            </w:pPr>
            <w:r w:rsidRPr="00476EA2">
              <w:rPr>
                <w:color w:val="000000"/>
                <w:sz w:val="24"/>
                <w:szCs w:val="24"/>
                <w:lang w:val="en-ID" w:eastAsia="en-ID"/>
                <w14:ligatures w14:val="none"/>
              </w:rPr>
              <w:t>TDN</w:t>
            </w:r>
          </w:p>
        </w:tc>
      </w:tr>
      <w:tr w:rsidR="00265BEF" w:rsidRPr="00476EA2" w14:paraId="291F6C9B" w14:textId="77777777" w:rsidTr="00D92788">
        <w:trPr>
          <w:trHeight w:val="317"/>
        </w:trPr>
        <w:tc>
          <w:tcPr>
            <w:tcW w:w="1790" w:type="dxa"/>
            <w:tcBorders>
              <w:bottom w:val="single" w:sz="4" w:space="0" w:color="000000"/>
            </w:tcBorders>
          </w:tcPr>
          <w:p w14:paraId="15FBD5AC" w14:textId="77777777" w:rsidR="00265BEF" w:rsidRPr="00476EA2" w:rsidRDefault="00265BEF" w:rsidP="00D92788">
            <w:pPr>
              <w:pStyle w:val="TableParagraph"/>
              <w:jc w:val="left"/>
              <w:rPr>
                <w:sz w:val="20"/>
              </w:rPr>
            </w:pPr>
          </w:p>
        </w:tc>
        <w:tc>
          <w:tcPr>
            <w:tcW w:w="1293" w:type="dxa"/>
            <w:tcBorders>
              <w:top w:val="single" w:sz="4" w:space="0" w:color="000000"/>
              <w:bottom w:val="single" w:sz="4" w:space="0" w:color="000000"/>
            </w:tcBorders>
          </w:tcPr>
          <w:p w14:paraId="7940EFDD" w14:textId="77777777" w:rsidR="00265BEF" w:rsidRPr="00476EA2" w:rsidRDefault="00265BEF" w:rsidP="00D92788">
            <w:pPr>
              <w:pStyle w:val="TableParagraph"/>
              <w:jc w:val="left"/>
              <w:rPr>
                <w:sz w:val="20"/>
              </w:rPr>
            </w:pPr>
          </w:p>
        </w:tc>
        <w:tc>
          <w:tcPr>
            <w:tcW w:w="1253" w:type="dxa"/>
            <w:tcBorders>
              <w:top w:val="single" w:sz="4" w:space="0" w:color="000000"/>
              <w:bottom w:val="single" w:sz="4" w:space="0" w:color="000000"/>
            </w:tcBorders>
          </w:tcPr>
          <w:p w14:paraId="4B3EDCF5" w14:textId="77777777" w:rsidR="00265BEF" w:rsidRPr="00476EA2" w:rsidRDefault="00265BEF" w:rsidP="00D92788">
            <w:pPr>
              <w:pStyle w:val="TableParagraph"/>
              <w:jc w:val="left"/>
              <w:rPr>
                <w:sz w:val="20"/>
              </w:rPr>
            </w:pPr>
          </w:p>
        </w:tc>
        <w:tc>
          <w:tcPr>
            <w:tcW w:w="1401" w:type="dxa"/>
            <w:tcBorders>
              <w:top w:val="single" w:sz="4" w:space="0" w:color="000000"/>
              <w:bottom w:val="single" w:sz="4" w:space="0" w:color="000000"/>
            </w:tcBorders>
          </w:tcPr>
          <w:p w14:paraId="45AF7D98" w14:textId="77777777" w:rsidR="00265BEF" w:rsidRPr="00476EA2" w:rsidRDefault="00265BEF" w:rsidP="00D92788">
            <w:pPr>
              <w:pStyle w:val="TableParagraph"/>
              <w:ind w:left="780"/>
              <w:jc w:val="left"/>
              <w:rPr>
                <w:sz w:val="24"/>
              </w:rPr>
            </w:pPr>
            <w:r w:rsidRPr="00476EA2">
              <w:rPr>
                <w:spacing w:val="-5"/>
                <w:sz w:val="24"/>
              </w:rPr>
              <w:t>(%)</w:t>
            </w:r>
          </w:p>
        </w:tc>
        <w:tc>
          <w:tcPr>
            <w:tcW w:w="869" w:type="dxa"/>
            <w:tcBorders>
              <w:top w:val="single" w:sz="4" w:space="0" w:color="000000"/>
              <w:bottom w:val="single" w:sz="4" w:space="0" w:color="000000"/>
            </w:tcBorders>
          </w:tcPr>
          <w:p w14:paraId="7871FAD8" w14:textId="77777777" w:rsidR="00265BEF" w:rsidRPr="00476EA2" w:rsidRDefault="00265BEF" w:rsidP="00D92788">
            <w:pPr>
              <w:pStyle w:val="TableParagraph"/>
              <w:jc w:val="left"/>
              <w:rPr>
                <w:sz w:val="20"/>
              </w:rPr>
            </w:pPr>
          </w:p>
        </w:tc>
        <w:tc>
          <w:tcPr>
            <w:tcW w:w="1207" w:type="dxa"/>
            <w:tcBorders>
              <w:top w:val="single" w:sz="4" w:space="0" w:color="000000"/>
              <w:bottom w:val="single" w:sz="4" w:space="0" w:color="000000"/>
            </w:tcBorders>
          </w:tcPr>
          <w:p w14:paraId="47B12D60" w14:textId="77777777" w:rsidR="00265BEF" w:rsidRPr="00476EA2" w:rsidRDefault="00265BEF" w:rsidP="00D92788">
            <w:pPr>
              <w:pStyle w:val="TableParagraph"/>
              <w:jc w:val="left"/>
              <w:rPr>
                <w:sz w:val="20"/>
              </w:rPr>
            </w:pPr>
          </w:p>
        </w:tc>
        <w:tc>
          <w:tcPr>
            <w:tcW w:w="1266" w:type="dxa"/>
            <w:tcBorders>
              <w:top w:val="single" w:sz="4" w:space="0" w:color="000000"/>
              <w:bottom w:val="single" w:sz="4" w:space="0" w:color="000000"/>
            </w:tcBorders>
          </w:tcPr>
          <w:p w14:paraId="73268DEB" w14:textId="77777777" w:rsidR="00265BEF" w:rsidRPr="00476EA2" w:rsidRDefault="00265BEF" w:rsidP="00D92788">
            <w:pPr>
              <w:pStyle w:val="TableParagraph"/>
              <w:jc w:val="left"/>
              <w:rPr>
                <w:sz w:val="20"/>
              </w:rPr>
            </w:pPr>
          </w:p>
        </w:tc>
      </w:tr>
      <w:tr w:rsidR="00265BEF" w:rsidRPr="00476EA2" w14:paraId="4CD11F40" w14:textId="77777777" w:rsidTr="00D92788">
        <w:trPr>
          <w:trHeight w:val="325"/>
        </w:trPr>
        <w:tc>
          <w:tcPr>
            <w:tcW w:w="1790" w:type="dxa"/>
            <w:tcBorders>
              <w:top w:val="single" w:sz="4" w:space="0" w:color="000000"/>
            </w:tcBorders>
          </w:tcPr>
          <w:p w14:paraId="35963014" w14:textId="77777777" w:rsidR="00265BEF" w:rsidRPr="00476EA2" w:rsidRDefault="00265BEF" w:rsidP="00D92788">
            <w:pPr>
              <w:pStyle w:val="TableParagraph"/>
              <w:ind w:left="114"/>
              <w:jc w:val="left"/>
              <w:rPr>
                <w:sz w:val="24"/>
              </w:rPr>
            </w:pPr>
            <w:r w:rsidRPr="00476EA2">
              <w:rPr>
                <w:sz w:val="24"/>
              </w:rPr>
              <w:t>Dried Odot Grass</w:t>
            </w:r>
          </w:p>
        </w:tc>
        <w:tc>
          <w:tcPr>
            <w:tcW w:w="1293" w:type="dxa"/>
            <w:tcBorders>
              <w:top w:val="single" w:sz="4" w:space="0" w:color="000000"/>
            </w:tcBorders>
          </w:tcPr>
          <w:p w14:paraId="5DBF4AD4" w14:textId="2D251125" w:rsidR="00265BEF" w:rsidRPr="00476EA2" w:rsidRDefault="00440E44" w:rsidP="00D92788">
            <w:pPr>
              <w:pStyle w:val="TableParagraph"/>
              <w:ind w:left="3" w:right="3"/>
              <w:rPr>
                <w:sz w:val="24"/>
              </w:rPr>
            </w:pPr>
            <w:r w:rsidRPr="00476EA2">
              <w:rPr>
                <w:noProof/>
              </w:rPr>
              <mc:AlternateContent>
                <mc:Choice Requires="wpg">
                  <w:drawing>
                    <wp:anchor distT="0" distB="0" distL="0" distR="0" simplePos="0" relativeHeight="251657216" behindDoc="1" locked="0" layoutInCell="1" allowOverlap="1" wp14:anchorId="2AB33EEE" wp14:editId="1BDA9F7C">
                      <wp:simplePos x="0" y="0"/>
                      <wp:positionH relativeFrom="column">
                        <wp:posOffset>85090</wp:posOffset>
                      </wp:positionH>
                      <wp:positionV relativeFrom="paragraph">
                        <wp:posOffset>-79375</wp:posOffset>
                      </wp:positionV>
                      <wp:extent cx="1828165" cy="11430"/>
                      <wp:effectExtent l="0" t="0" r="0" b="0"/>
                      <wp:wrapNone/>
                      <wp:docPr id="10221077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165" cy="11430"/>
                                <a:chOff x="0" y="0"/>
                                <a:chExt cx="18281" cy="114"/>
                              </a:xfrm>
                            </wpg:grpSpPr>
                            <wps:wsp>
                              <wps:cNvPr id="220167802" name="Graphic 12"/>
                              <wps:cNvSpPr>
                                <a:spLocks/>
                              </wps:cNvSpPr>
                              <wps:spPr bwMode="auto">
                                <a:xfrm>
                                  <a:off x="0" y="56"/>
                                  <a:ext cx="18281" cy="12"/>
                                </a:xfrm>
                                <a:custGeom>
                                  <a:avLst/>
                                  <a:gdLst>
                                    <a:gd name="T0" fmla="*/ 0 w 1828164"/>
                                    <a:gd name="T1" fmla="*/ 0 h 1270"/>
                                    <a:gd name="T2" fmla="*/ 1827734 w 1828164"/>
                                    <a:gd name="T3" fmla="*/ 0 h 1270"/>
                                  </a:gdLst>
                                  <a:ahLst/>
                                  <a:cxnLst>
                                    <a:cxn ang="0">
                                      <a:pos x="T0" y="T1"/>
                                    </a:cxn>
                                    <a:cxn ang="0">
                                      <a:pos x="T2" y="T3"/>
                                    </a:cxn>
                                  </a:cxnLst>
                                  <a:rect l="0" t="0" r="r" b="b"/>
                                  <a:pathLst>
                                    <a:path w="1828164" h="1270">
                                      <a:moveTo>
                                        <a:pt x="0" y="0"/>
                                      </a:moveTo>
                                      <a:lnTo>
                                        <a:pt x="1827734" y="0"/>
                                      </a:lnTo>
                                    </a:path>
                                  </a:pathLst>
                                </a:custGeom>
                                <a:noFill/>
                                <a:ln w="11246">
                                  <a:solidFill>
                                    <a:srgbClr val="000000"/>
                                  </a:solidFill>
                                  <a:prstDash val="dash"/>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7EF8E" id="Group 6" o:spid="_x0000_s1026" style="position:absolute;margin-left:6.7pt;margin-top:-6.25pt;width:143.95pt;height:.9pt;z-index:-251659264;mso-wrap-distance-left:0;mso-wrap-distance-right:0" coordsize="1828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">
                      <v:shape id="Graphic 12" o:spid="_x0000_s1027" style="position:absolute;top:56;width:18281;height:12;visibility:visible;mso-wrap-style:square;v-text-anchor:top" coordsize="18281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" path="m,l1827734,e" filled="f" strokeweight=".31239mm">
                        <v:stroke dashstyle="dash"/>
                        <v:path arrowok="t" o:connecttype="custom" o:connectlocs="0,0;18277,0" o:connectangles="0,0"/>
                      </v:shape>
                    </v:group>
                  </w:pict>
                </mc:Fallback>
              </mc:AlternateContent>
            </w:r>
            <w:r w:rsidR="00265BEF" w:rsidRPr="00476EA2">
              <w:rPr>
                <w:spacing w:val="-2"/>
                <w:sz w:val="24"/>
              </w:rPr>
              <w:t>11,98</w:t>
            </w:r>
          </w:p>
        </w:tc>
        <w:tc>
          <w:tcPr>
            <w:tcW w:w="1253" w:type="dxa"/>
            <w:tcBorders>
              <w:top w:val="single" w:sz="4" w:space="0" w:color="000000"/>
            </w:tcBorders>
          </w:tcPr>
          <w:p w14:paraId="0EA67F82" w14:textId="77777777" w:rsidR="00265BEF" w:rsidRPr="00476EA2" w:rsidRDefault="00265BEF" w:rsidP="00D92788">
            <w:pPr>
              <w:pStyle w:val="TableParagraph"/>
              <w:ind w:left="37" w:right="1"/>
              <w:rPr>
                <w:sz w:val="24"/>
              </w:rPr>
            </w:pPr>
            <w:r w:rsidRPr="00476EA2">
              <w:rPr>
                <w:spacing w:val="-2"/>
                <w:sz w:val="24"/>
              </w:rPr>
              <w:t>13,78</w:t>
            </w:r>
          </w:p>
        </w:tc>
        <w:tc>
          <w:tcPr>
            <w:tcW w:w="1401" w:type="dxa"/>
            <w:tcBorders>
              <w:top w:val="single" w:sz="4" w:space="0" w:color="000000"/>
            </w:tcBorders>
          </w:tcPr>
          <w:p w14:paraId="2476658F" w14:textId="77777777" w:rsidR="00265BEF" w:rsidRPr="00476EA2" w:rsidRDefault="00265BEF" w:rsidP="00D92788">
            <w:pPr>
              <w:pStyle w:val="TableParagraph"/>
              <w:ind w:left="262"/>
              <w:jc w:val="left"/>
              <w:rPr>
                <w:sz w:val="24"/>
              </w:rPr>
            </w:pPr>
            <w:r w:rsidRPr="00476EA2">
              <w:rPr>
                <w:spacing w:val="-2"/>
                <w:sz w:val="24"/>
              </w:rPr>
              <w:t>14,63</w:t>
            </w:r>
          </w:p>
        </w:tc>
        <w:tc>
          <w:tcPr>
            <w:tcW w:w="869" w:type="dxa"/>
            <w:tcBorders>
              <w:top w:val="single" w:sz="4" w:space="0" w:color="000000"/>
            </w:tcBorders>
          </w:tcPr>
          <w:p w14:paraId="6D22F5CA" w14:textId="6DF67C93" w:rsidR="00265BEF" w:rsidRPr="00476EA2" w:rsidRDefault="00440E44" w:rsidP="00D92788">
            <w:pPr>
              <w:pStyle w:val="TableParagraph"/>
              <w:ind w:left="87"/>
              <w:jc w:val="left"/>
              <w:rPr>
                <w:sz w:val="24"/>
              </w:rPr>
            </w:pPr>
            <w:r w:rsidRPr="00476EA2">
              <w:rPr>
                <w:noProof/>
              </w:rPr>
              <mc:AlternateContent>
                <mc:Choice Requires="wpg">
                  <w:drawing>
                    <wp:anchor distT="0" distB="0" distL="0" distR="0" simplePos="0" relativeHeight="251658240" behindDoc="1" locked="0" layoutInCell="1" allowOverlap="1" wp14:anchorId="3981F4DF" wp14:editId="7C01D933">
                      <wp:simplePos x="0" y="0"/>
                      <wp:positionH relativeFrom="column">
                        <wp:posOffset>-55245</wp:posOffset>
                      </wp:positionH>
                      <wp:positionV relativeFrom="paragraph">
                        <wp:posOffset>-79375</wp:posOffset>
                      </wp:positionV>
                      <wp:extent cx="1826260" cy="11430"/>
                      <wp:effectExtent l="0" t="0" r="0" b="0"/>
                      <wp:wrapNone/>
                      <wp:docPr id="4097454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11430"/>
                                <a:chOff x="0" y="0"/>
                                <a:chExt cx="18262" cy="114"/>
                              </a:xfrm>
                            </wpg:grpSpPr>
                            <wps:wsp>
                              <wps:cNvPr id="1455502699" name="Graphic 14"/>
                              <wps:cNvSpPr>
                                <a:spLocks/>
                              </wps:cNvSpPr>
                              <wps:spPr bwMode="auto">
                                <a:xfrm>
                                  <a:off x="0" y="56"/>
                                  <a:ext cx="18262" cy="12"/>
                                </a:xfrm>
                                <a:custGeom>
                                  <a:avLst/>
                                  <a:gdLst>
                                    <a:gd name="T0" fmla="*/ 0 w 1826260"/>
                                    <a:gd name="T1" fmla="*/ 0 h 1270"/>
                                    <a:gd name="T2" fmla="*/ 1826261 w 1826260"/>
                                    <a:gd name="T3" fmla="*/ 0 h 1270"/>
                                  </a:gdLst>
                                  <a:ahLst/>
                                  <a:cxnLst>
                                    <a:cxn ang="0">
                                      <a:pos x="T0" y="T1"/>
                                    </a:cxn>
                                    <a:cxn ang="0">
                                      <a:pos x="T2" y="T3"/>
                                    </a:cxn>
                                  </a:cxnLst>
                                  <a:rect l="0" t="0" r="r" b="b"/>
                                  <a:pathLst>
                                    <a:path w="1826260" h="1270">
                                      <a:moveTo>
                                        <a:pt x="0" y="0"/>
                                      </a:moveTo>
                                      <a:lnTo>
                                        <a:pt x="1826261" y="0"/>
                                      </a:lnTo>
                                    </a:path>
                                  </a:pathLst>
                                </a:custGeom>
                                <a:noFill/>
                                <a:ln w="11246">
                                  <a:solidFill>
                                    <a:srgbClr val="000000"/>
                                  </a:solidFill>
                                  <a:prstDash val="dash"/>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67F54" id="Group 3" o:spid="_x0000_s1026" style="position:absolute;margin-left:-4.35pt;margin-top:-6.25pt;width:143.8pt;height:.9pt;z-index:-251658240;mso-wrap-distance-left:0;mso-wrap-distance-right:0" coordsize="1826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">
                      <v:shape id="Graphic 14" o:spid="_x0000_s1027" style="position:absolute;top:56;width:18262;height:12;visibility:visible;mso-wrap-style:square;v-text-anchor:top" coordsize="1826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" path="m,l1826261,e" filled="f" strokeweight=".31239mm">
                        <v:stroke dashstyle="dash"/>
                        <v:path arrowok="t" o:connecttype="custom" o:connectlocs="0,0;18262,0" o:connectangles="0,0"/>
                      </v:shape>
                    </v:group>
                  </w:pict>
                </mc:Fallback>
              </mc:AlternateContent>
            </w:r>
            <w:r w:rsidR="00265BEF" w:rsidRPr="00476EA2">
              <w:rPr>
                <w:spacing w:val="-4"/>
                <w:sz w:val="24"/>
              </w:rPr>
              <w:t>1,94</w:t>
            </w:r>
          </w:p>
        </w:tc>
        <w:tc>
          <w:tcPr>
            <w:tcW w:w="1207" w:type="dxa"/>
            <w:tcBorders>
              <w:top w:val="single" w:sz="4" w:space="0" w:color="000000"/>
            </w:tcBorders>
          </w:tcPr>
          <w:p w14:paraId="713C343A" w14:textId="77777777" w:rsidR="00265BEF" w:rsidRPr="00476EA2" w:rsidRDefault="00265BEF" w:rsidP="00D92788">
            <w:pPr>
              <w:pStyle w:val="TableParagraph"/>
              <w:ind w:right="4"/>
              <w:rPr>
                <w:sz w:val="24"/>
              </w:rPr>
            </w:pPr>
            <w:r w:rsidRPr="00476EA2">
              <w:rPr>
                <w:spacing w:val="-2"/>
                <w:sz w:val="24"/>
              </w:rPr>
              <w:t>21,76</w:t>
            </w:r>
          </w:p>
        </w:tc>
        <w:tc>
          <w:tcPr>
            <w:tcW w:w="1266" w:type="dxa"/>
            <w:tcBorders>
              <w:top w:val="single" w:sz="4" w:space="0" w:color="000000"/>
            </w:tcBorders>
          </w:tcPr>
          <w:p w14:paraId="2DAC7A00" w14:textId="77777777" w:rsidR="00265BEF" w:rsidRPr="00476EA2" w:rsidRDefault="00265BEF" w:rsidP="00D92788">
            <w:pPr>
              <w:pStyle w:val="TableParagraph"/>
              <w:ind w:right="33"/>
              <w:rPr>
                <w:sz w:val="24"/>
              </w:rPr>
            </w:pPr>
            <w:r w:rsidRPr="00476EA2">
              <w:rPr>
                <w:spacing w:val="-2"/>
                <w:sz w:val="24"/>
              </w:rPr>
              <w:t>63,08</w:t>
            </w:r>
          </w:p>
        </w:tc>
      </w:tr>
      <w:tr w:rsidR="00265BEF" w:rsidRPr="00476EA2" w14:paraId="045FD08E" w14:textId="77777777" w:rsidTr="00D92788">
        <w:trPr>
          <w:trHeight w:val="325"/>
        </w:trPr>
        <w:tc>
          <w:tcPr>
            <w:tcW w:w="1790" w:type="dxa"/>
          </w:tcPr>
          <w:p w14:paraId="0DA8BE82" w14:textId="77777777" w:rsidR="00265BEF" w:rsidRPr="00476EA2" w:rsidRDefault="00265BEF" w:rsidP="00D92788">
            <w:pPr>
              <w:pStyle w:val="TableParagraph"/>
              <w:ind w:left="114"/>
              <w:jc w:val="left"/>
              <w:rPr>
                <w:sz w:val="24"/>
              </w:rPr>
            </w:pPr>
            <w:r w:rsidRPr="00476EA2">
              <w:rPr>
                <w:sz w:val="24"/>
                <w:szCs w:val="24"/>
              </w:rPr>
              <w:t>Concentrate</w:t>
            </w:r>
          </w:p>
        </w:tc>
        <w:tc>
          <w:tcPr>
            <w:tcW w:w="1293" w:type="dxa"/>
          </w:tcPr>
          <w:p w14:paraId="1DA1360E" w14:textId="77777777" w:rsidR="00265BEF" w:rsidRPr="00476EA2" w:rsidRDefault="00265BEF" w:rsidP="00D92788">
            <w:pPr>
              <w:pStyle w:val="TableParagraph"/>
              <w:ind w:left="3" w:right="3"/>
              <w:rPr>
                <w:sz w:val="24"/>
              </w:rPr>
            </w:pPr>
            <w:r w:rsidRPr="00476EA2">
              <w:rPr>
                <w:spacing w:val="-2"/>
                <w:sz w:val="24"/>
              </w:rPr>
              <w:t>12,35</w:t>
            </w:r>
          </w:p>
        </w:tc>
        <w:tc>
          <w:tcPr>
            <w:tcW w:w="1253" w:type="dxa"/>
          </w:tcPr>
          <w:p w14:paraId="4CA36CBC" w14:textId="77777777" w:rsidR="00265BEF" w:rsidRPr="00476EA2" w:rsidRDefault="00265BEF" w:rsidP="00D92788">
            <w:pPr>
              <w:pStyle w:val="TableParagraph"/>
              <w:ind w:left="37" w:right="1"/>
              <w:rPr>
                <w:sz w:val="24"/>
              </w:rPr>
            </w:pPr>
            <w:r w:rsidRPr="00476EA2">
              <w:rPr>
                <w:spacing w:val="-4"/>
                <w:sz w:val="24"/>
              </w:rPr>
              <w:t>8,32</w:t>
            </w:r>
          </w:p>
        </w:tc>
        <w:tc>
          <w:tcPr>
            <w:tcW w:w="1401" w:type="dxa"/>
          </w:tcPr>
          <w:p w14:paraId="348F443C" w14:textId="77777777" w:rsidR="00265BEF" w:rsidRPr="00476EA2" w:rsidRDefault="00265BEF" w:rsidP="00D92788">
            <w:pPr>
              <w:pStyle w:val="TableParagraph"/>
              <w:ind w:left="262"/>
              <w:jc w:val="left"/>
              <w:rPr>
                <w:sz w:val="24"/>
              </w:rPr>
            </w:pPr>
            <w:r w:rsidRPr="00476EA2">
              <w:rPr>
                <w:spacing w:val="-2"/>
                <w:sz w:val="24"/>
              </w:rPr>
              <w:t>16,33</w:t>
            </w:r>
          </w:p>
        </w:tc>
        <w:tc>
          <w:tcPr>
            <w:tcW w:w="869" w:type="dxa"/>
          </w:tcPr>
          <w:p w14:paraId="773986C3" w14:textId="77777777" w:rsidR="00265BEF" w:rsidRPr="00476EA2" w:rsidRDefault="00265BEF" w:rsidP="00D92788">
            <w:pPr>
              <w:pStyle w:val="TableParagraph"/>
              <w:ind w:left="87"/>
              <w:jc w:val="left"/>
              <w:rPr>
                <w:sz w:val="24"/>
              </w:rPr>
            </w:pPr>
            <w:r w:rsidRPr="00476EA2">
              <w:rPr>
                <w:spacing w:val="-4"/>
                <w:sz w:val="24"/>
              </w:rPr>
              <w:t>3,27</w:t>
            </w:r>
          </w:p>
        </w:tc>
        <w:tc>
          <w:tcPr>
            <w:tcW w:w="1207" w:type="dxa"/>
          </w:tcPr>
          <w:p w14:paraId="74F3E64A" w14:textId="77777777" w:rsidR="00265BEF" w:rsidRPr="00476EA2" w:rsidRDefault="00265BEF" w:rsidP="00D92788">
            <w:pPr>
              <w:pStyle w:val="TableParagraph"/>
              <w:ind w:right="4"/>
              <w:rPr>
                <w:sz w:val="24"/>
              </w:rPr>
            </w:pPr>
            <w:r w:rsidRPr="00476EA2">
              <w:rPr>
                <w:spacing w:val="-2"/>
                <w:sz w:val="24"/>
              </w:rPr>
              <w:t>11,77</w:t>
            </w:r>
          </w:p>
        </w:tc>
        <w:tc>
          <w:tcPr>
            <w:tcW w:w="1266" w:type="dxa"/>
          </w:tcPr>
          <w:p w14:paraId="4BD6A409" w14:textId="77777777" w:rsidR="00265BEF" w:rsidRPr="00476EA2" w:rsidRDefault="00265BEF" w:rsidP="00D92788">
            <w:pPr>
              <w:pStyle w:val="TableParagraph"/>
              <w:ind w:right="33"/>
              <w:rPr>
                <w:sz w:val="24"/>
              </w:rPr>
            </w:pPr>
            <w:r w:rsidRPr="00476EA2">
              <w:rPr>
                <w:spacing w:val="-2"/>
                <w:sz w:val="24"/>
              </w:rPr>
              <w:t>72,78</w:t>
            </w:r>
          </w:p>
        </w:tc>
      </w:tr>
      <w:tr w:rsidR="00265BEF" w:rsidRPr="00476EA2" w14:paraId="6121FA77" w14:textId="77777777" w:rsidTr="00D92788">
        <w:trPr>
          <w:trHeight w:val="324"/>
        </w:trPr>
        <w:tc>
          <w:tcPr>
            <w:tcW w:w="1790" w:type="dxa"/>
            <w:tcBorders>
              <w:bottom w:val="single" w:sz="4" w:space="0" w:color="000000"/>
            </w:tcBorders>
          </w:tcPr>
          <w:p w14:paraId="6AD07E8C" w14:textId="77777777" w:rsidR="00265BEF" w:rsidRPr="00476EA2" w:rsidRDefault="00265BEF" w:rsidP="00D92788">
            <w:pPr>
              <w:pStyle w:val="TableParagraph"/>
              <w:ind w:left="114"/>
              <w:jc w:val="left"/>
              <w:rPr>
                <w:sz w:val="24"/>
              </w:rPr>
            </w:pPr>
            <w:r w:rsidRPr="00476EA2">
              <w:rPr>
                <w:spacing w:val="-2"/>
                <w:sz w:val="24"/>
              </w:rPr>
              <w:t>Rations</w:t>
            </w:r>
          </w:p>
        </w:tc>
        <w:tc>
          <w:tcPr>
            <w:tcW w:w="1293" w:type="dxa"/>
            <w:tcBorders>
              <w:bottom w:val="single" w:sz="4" w:space="0" w:color="000000"/>
            </w:tcBorders>
          </w:tcPr>
          <w:p w14:paraId="5B93AC15" w14:textId="77777777" w:rsidR="00265BEF" w:rsidRPr="00476EA2" w:rsidRDefault="00265BEF" w:rsidP="00D92788">
            <w:pPr>
              <w:pStyle w:val="TableParagraph"/>
              <w:ind w:left="3" w:right="3"/>
              <w:rPr>
                <w:sz w:val="24"/>
              </w:rPr>
            </w:pPr>
            <w:r w:rsidRPr="00476EA2">
              <w:rPr>
                <w:spacing w:val="-2"/>
                <w:sz w:val="24"/>
              </w:rPr>
              <w:t>12,60</w:t>
            </w:r>
          </w:p>
        </w:tc>
        <w:tc>
          <w:tcPr>
            <w:tcW w:w="1253" w:type="dxa"/>
            <w:tcBorders>
              <w:bottom w:val="single" w:sz="4" w:space="0" w:color="000000"/>
            </w:tcBorders>
          </w:tcPr>
          <w:p w14:paraId="4B3D78C5" w14:textId="77777777" w:rsidR="00265BEF" w:rsidRPr="00476EA2" w:rsidRDefault="00265BEF" w:rsidP="00D92788">
            <w:pPr>
              <w:pStyle w:val="TableParagraph"/>
              <w:ind w:left="37" w:right="1"/>
              <w:rPr>
                <w:sz w:val="24"/>
              </w:rPr>
            </w:pPr>
            <w:r w:rsidRPr="00476EA2">
              <w:rPr>
                <w:spacing w:val="-2"/>
                <w:sz w:val="24"/>
              </w:rPr>
              <w:t>10,16</w:t>
            </w:r>
          </w:p>
        </w:tc>
        <w:tc>
          <w:tcPr>
            <w:tcW w:w="1401" w:type="dxa"/>
            <w:tcBorders>
              <w:bottom w:val="single" w:sz="4" w:space="0" w:color="000000"/>
            </w:tcBorders>
          </w:tcPr>
          <w:p w14:paraId="104F00ED" w14:textId="77777777" w:rsidR="00265BEF" w:rsidRPr="00476EA2" w:rsidRDefault="00265BEF" w:rsidP="00D92788">
            <w:pPr>
              <w:pStyle w:val="TableParagraph"/>
              <w:ind w:left="262"/>
              <w:jc w:val="left"/>
              <w:rPr>
                <w:sz w:val="24"/>
              </w:rPr>
            </w:pPr>
            <w:r w:rsidRPr="00476EA2">
              <w:rPr>
                <w:spacing w:val="-2"/>
                <w:sz w:val="24"/>
              </w:rPr>
              <w:t>15,65</w:t>
            </w:r>
          </w:p>
        </w:tc>
        <w:tc>
          <w:tcPr>
            <w:tcW w:w="869" w:type="dxa"/>
            <w:tcBorders>
              <w:bottom w:val="single" w:sz="4" w:space="0" w:color="000000"/>
            </w:tcBorders>
          </w:tcPr>
          <w:p w14:paraId="41E33207" w14:textId="77777777" w:rsidR="00265BEF" w:rsidRPr="00476EA2" w:rsidRDefault="00265BEF" w:rsidP="00D92788">
            <w:pPr>
              <w:pStyle w:val="TableParagraph"/>
              <w:ind w:left="87"/>
              <w:jc w:val="left"/>
              <w:rPr>
                <w:sz w:val="24"/>
              </w:rPr>
            </w:pPr>
            <w:r w:rsidRPr="00476EA2">
              <w:rPr>
                <w:spacing w:val="-4"/>
                <w:sz w:val="24"/>
              </w:rPr>
              <w:t>2,74</w:t>
            </w:r>
          </w:p>
        </w:tc>
        <w:tc>
          <w:tcPr>
            <w:tcW w:w="1207" w:type="dxa"/>
            <w:tcBorders>
              <w:bottom w:val="single" w:sz="4" w:space="0" w:color="000000"/>
            </w:tcBorders>
          </w:tcPr>
          <w:p w14:paraId="44031DA5" w14:textId="77777777" w:rsidR="00265BEF" w:rsidRPr="00476EA2" w:rsidRDefault="00265BEF" w:rsidP="00D92788">
            <w:pPr>
              <w:pStyle w:val="TableParagraph"/>
              <w:ind w:right="4"/>
              <w:rPr>
                <w:sz w:val="24"/>
              </w:rPr>
            </w:pPr>
            <w:r w:rsidRPr="00476EA2">
              <w:rPr>
                <w:spacing w:val="-2"/>
                <w:sz w:val="24"/>
              </w:rPr>
              <w:t>14,74</w:t>
            </w:r>
          </w:p>
        </w:tc>
        <w:tc>
          <w:tcPr>
            <w:tcW w:w="1266" w:type="dxa"/>
            <w:tcBorders>
              <w:bottom w:val="single" w:sz="4" w:space="0" w:color="000000"/>
            </w:tcBorders>
          </w:tcPr>
          <w:p w14:paraId="46951A62" w14:textId="77777777" w:rsidR="00265BEF" w:rsidRPr="00476EA2" w:rsidRDefault="00265BEF" w:rsidP="00D92788">
            <w:pPr>
              <w:pStyle w:val="TableParagraph"/>
              <w:ind w:right="33"/>
              <w:rPr>
                <w:sz w:val="24"/>
              </w:rPr>
            </w:pPr>
            <w:r w:rsidRPr="00476EA2">
              <w:rPr>
                <w:spacing w:val="-2"/>
                <w:sz w:val="24"/>
              </w:rPr>
              <w:t>68,90</w:t>
            </w:r>
          </w:p>
        </w:tc>
      </w:tr>
    </w:tbl>
    <w:p w14:paraId="6F929167" w14:textId="77777777" w:rsidR="00265BEF" w:rsidRPr="00476EA2" w:rsidRDefault="00265BEF" w:rsidP="00265BEF">
      <w:pPr>
        <w:tabs>
          <w:tab w:val="left" w:pos="709"/>
          <w:tab w:val="left" w:pos="851"/>
        </w:tabs>
        <w:spacing w:after="0" w:line="240" w:lineRule="auto"/>
        <w:ind w:left="709" w:hanging="567"/>
        <w:jc w:val="both"/>
        <w:rPr>
          <w:rFonts w:ascii="Times New Roman" w:hAnsi="Times New Roman" w:cs="Times New Roman"/>
          <w:sz w:val="20"/>
          <w:szCs w:val="20"/>
        </w:rPr>
      </w:pPr>
      <w:r w:rsidRPr="00476EA2">
        <w:rPr>
          <w:rFonts w:ascii="Times New Roman" w:hAnsi="Times New Roman" w:cs="Times New Roman"/>
          <w:sz w:val="20"/>
          <w:szCs w:val="20"/>
        </w:rPr>
        <w:t xml:space="preserve">Source: Result of laboratory analysis </w:t>
      </w:r>
      <w:proofErr w:type="spellStart"/>
      <w:r w:rsidRPr="00476EA2">
        <w:rPr>
          <w:rFonts w:ascii="Times New Roman" w:hAnsi="Times New Roman" w:cs="Times New Roman"/>
          <w:sz w:val="20"/>
          <w:szCs w:val="20"/>
        </w:rPr>
        <w:t>conducated</w:t>
      </w:r>
      <w:proofErr w:type="spellEnd"/>
      <w:r w:rsidRPr="00476EA2">
        <w:rPr>
          <w:rFonts w:ascii="Times New Roman" w:hAnsi="Times New Roman" w:cs="Times New Roman"/>
          <w:sz w:val="20"/>
          <w:szCs w:val="20"/>
        </w:rPr>
        <w:t xml:space="preserve"> at the Laboratory of Nutrition and Feed Sciences, Faculty of Animal and Agricultural Sciences, </w:t>
      </w:r>
      <w:proofErr w:type="spellStart"/>
      <w:r w:rsidRPr="00476EA2">
        <w:rPr>
          <w:rFonts w:ascii="Times New Roman" w:hAnsi="Times New Roman" w:cs="Times New Roman"/>
          <w:sz w:val="20"/>
          <w:szCs w:val="20"/>
        </w:rPr>
        <w:t>Diponegoro</w:t>
      </w:r>
      <w:proofErr w:type="spellEnd"/>
      <w:r w:rsidRPr="00476EA2">
        <w:rPr>
          <w:rFonts w:ascii="Times New Roman" w:hAnsi="Times New Roman" w:cs="Times New Roman"/>
          <w:sz w:val="20"/>
          <w:szCs w:val="20"/>
        </w:rPr>
        <w:t xml:space="preserve"> University (2025). Abbreviations: Moisture Content (MC), Ash, Crude Protein (CP), Ether Extract (EE), Crude Fiber (CF), and Total Digestible Nutrients (TDN).</w:t>
      </w:r>
    </w:p>
    <w:p w14:paraId="64E10504" w14:textId="77777777" w:rsidR="00265BEF" w:rsidRPr="00432A2A" w:rsidRDefault="00265BEF" w:rsidP="00265BEF">
      <w:pPr>
        <w:tabs>
          <w:tab w:val="left" w:pos="709"/>
          <w:tab w:val="left" w:pos="851"/>
        </w:tabs>
        <w:spacing w:after="0" w:line="240" w:lineRule="auto"/>
        <w:ind w:left="709" w:hanging="567"/>
        <w:jc w:val="both"/>
        <w:rPr>
          <w:rFonts w:ascii="Times New Roman" w:hAnsi="Times New Roman" w:cs="Times New Roman"/>
          <w:sz w:val="20"/>
          <w:szCs w:val="20"/>
          <w:highlight w:val="yellow"/>
        </w:rPr>
      </w:pPr>
    </w:p>
    <w:p w14:paraId="3C01D10F" w14:textId="3314B8DC" w:rsidR="00594F89" w:rsidRDefault="00265BEF" w:rsidP="00265BEF">
      <w:pPr>
        <w:tabs>
          <w:tab w:val="left" w:pos="426"/>
          <w:tab w:val="left" w:pos="851"/>
        </w:tabs>
        <w:spacing w:after="0" w:line="360" w:lineRule="auto"/>
        <w:jc w:val="both"/>
        <w:rPr>
          <w:rFonts w:ascii="Times New Roman" w:hAnsi="Times New Roman" w:cs="Times New Roman"/>
          <w:sz w:val="24"/>
          <w:szCs w:val="24"/>
        </w:rPr>
      </w:pPr>
      <w:r w:rsidRPr="00511CA2">
        <w:rPr>
          <w:rFonts w:ascii="Times New Roman" w:hAnsi="Times New Roman" w:cs="Times New Roman"/>
          <w:sz w:val="20"/>
          <w:szCs w:val="20"/>
        </w:rPr>
        <w:tab/>
      </w:r>
      <w:r w:rsidR="00E66720" w:rsidRPr="00511CA2">
        <w:rPr>
          <w:rFonts w:ascii="Times New Roman" w:hAnsi="Times New Roman" w:cs="Times New Roman"/>
          <w:sz w:val="24"/>
          <w:szCs w:val="24"/>
        </w:rPr>
        <w:t xml:space="preserve">The nutrient content of the ration was determined, and then </w:t>
      </w:r>
      <w:r w:rsidR="00E66720" w:rsidRPr="00511CA2">
        <w:rPr>
          <w:rFonts w:ascii="Times New Roman" w:hAnsi="Times New Roman" w:cs="Times New Roman"/>
          <w:i/>
          <w:iCs/>
          <w:sz w:val="24"/>
          <w:szCs w:val="24"/>
        </w:rPr>
        <w:t xml:space="preserve">Terminalia </w:t>
      </w:r>
      <w:proofErr w:type="spellStart"/>
      <w:r w:rsidR="00E66720" w:rsidRPr="00511CA2">
        <w:rPr>
          <w:rFonts w:ascii="Times New Roman" w:hAnsi="Times New Roman" w:cs="Times New Roman"/>
          <w:i/>
          <w:iCs/>
          <w:sz w:val="24"/>
          <w:szCs w:val="24"/>
        </w:rPr>
        <w:t>catappa</w:t>
      </w:r>
      <w:proofErr w:type="spellEnd"/>
      <w:r w:rsidR="00E66720" w:rsidRPr="00511CA2">
        <w:rPr>
          <w:rFonts w:ascii="Times New Roman" w:hAnsi="Times New Roman" w:cs="Times New Roman"/>
          <w:i/>
          <w:iCs/>
          <w:sz w:val="24"/>
          <w:szCs w:val="24"/>
        </w:rPr>
        <w:t xml:space="preserve"> </w:t>
      </w:r>
      <w:r w:rsidR="00E66720" w:rsidRPr="00511CA2">
        <w:rPr>
          <w:rFonts w:ascii="Times New Roman" w:hAnsi="Times New Roman" w:cs="Times New Roman"/>
          <w:sz w:val="24"/>
          <w:szCs w:val="24"/>
        </w:rPr>
        <w:t xml:space="preserve">L. extract supplementation was added at a predetermined level/dose. Phytochemical testing was then conducted to determine the </w:t>
      </w:r>
      <w:proofErr w:type="spellStart"/>
      <w:r w:rsidR="00E66720" w:rsidRPr="00511CA2">
        <w:rPr>
          <w:rFonts w:ascii="Times New Roman" w:hAnsi="Times New Roman" w:cs="Times New Roman"/>
          <w:sz w:val="24"/>
          <w:szCs w:val="24"/>
        </w:rPr>
        <w:t>flavonoida</w:t>
      </w:r>
      <w:proofErr w:type="spellEnd"/>
      <w:r w:rsidR="00E66720" w:rsidRPr="00511CA2">
        <w:rPr>
          <w:rFonts w:ascii="Times New Roman" w:hAnsi="Times New Roman" w:cs="Times New Roman"/>
          <w:sz w:val="24"/>
          <w:szCs w:val="24"/>
        </w:rPr>
        <w:t xml:space="preserve"> and tannin content are presented in </w:t>
      </w:r>
      <w:r w:rsidRPr="00511CA2">
        <w:rPr>
          <w:rFonts w:ascii="Times New Roman" w:hAnsi="Times New Roman" w:cs="Times New Roman"/>
          <w:sz w:val="24"/>
          <w:szCs w:val="24"/>
        </w:rPr>
        <w:t>Tabl</w:t>
      </w:r>
      <w:r w:rsidR="00E66720" w:rsidRPr="00511CA2">
        <w:rPr>
          <w:rFonts w:ascii="Times New Roman" w:hAnsi="Times New Roman" w:cs="Times New Roman"/>
          <w:sz w:val="24"/>
          <w:szCs w:val="24"/>
        </w:rPr>
        <w:t>e</w:t>
      </w:r>
      <w:r w:rsidRPr="00511CA2">
        <w:rPr>
          <w:rFonts w:ascii="Times New Roman" w:hAnsi="Times New Roman" w:cs="Times New Roman"/>
          <w:sz w:val="24"/>
          <w:szCs w:val="24"/>
        </w:rPr>
        <w:t xml:space="preserve"> 3.</w:t>
      </w:r>
    </w:p>
    <w:p w14:paraId="77E42AC6" w14:textId="77777777" w:rsidR="00FE2B87" w:rsidRDefault="00FE2B87" w:rsidP="00265BEF">
      <w:pPr>
        <w:tabs>
          <w:tab w:val="left" w:pos="426"/>
          <w:tab w:val="left" w:pos="851"/>
        </w:tabs>
        <w:spacing w:after="0" w:line="360" w:lineRule="auto"/>
        <w:jc w:val="both"/>
        <w:rPr>
          <w:rFonts w:ascii="Times New Roman" w:hAnsi="Times New Roman" w:cs="Times New Roman"/>
          <w:sz w:val="24"/>
          <w:szCs w:val="24"/>
        </w:rPr>
      </w:pPr>
    </w:p>
    <w:p w14:paraId="37086524" w14:textId="77777777" w:rsidR="00FE2B87" w:rsidRPr="00EF1E9B" w:rsidRDefault="00FE2B87" w:rsidP="00265BEF">
      <w:pPr>
        <w:tabs>
          <w:tab w:val="left" w:pos="426"/>
          <w:tab w:val="left" w:pos="851"/>
        </w:tabs>
        <w:spacing w:after="0" w:line="360" w:lineRule="auto"/>
        <w:jc w:val="both"/>
        <w:rPr>
          <w:rFonts w:ascii="Times New Roman" w:hAnsi="Times New Roman" w:cs="Times New Roman"/>
          <w:sz w:val="24"/>
          <w:szCs w:val="24"/>
        </w:rPr>
      </w:pPr>
    </w:p>
    <w:p w14:paraId="01B21D29" w14:textId="77777777" w:rsidR="00265BEF" w:rsidRPr="00565ED0" w:rsidRDefault="00265BEF" w:rsidP="00265BEF">
      <w:pPr>
        <w:tabs>
          <w:tab w:val="left" w:pos="709"/>
          <w:tab w:val="left" w:pos="851"/>
        </w:tabs>
        <w:spacing w:before="240" w:after="0" w:line="360" w:lineRule="auto"/>
        <w:ind w:left="426"/>
        <w:jc w:val="both"/>
        <w:rPr>
          <w:rFonts w:ascii="Times New Roman" w:hAnsi="Times New Roman" w:cs="Times New Roman"/>
          <w:sz w:val="24"/>
          <w:szCs w:val="24"/>
        </w:rPr>
      </w:pPr>
      <w:r w:rsidRPr="00565ED0">
        <w:rPr>
          <w:rFonts w:ascii="Times New Roman" w:hAnsi="Times New Roman" w:cs="Times New Roman"/>
          <w:sz w:val="24"/>
          <w:szCs w:val="24"/>
        </w:rPr>
        <w:t>Table 3. Phytochemical Analysis of Supplemented 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1872"/>
        <w:gridCol w:w="1897"/>
        <w:gridCol w:w="2172"/>
        <w:gridCol w:w="73"/>
      </w:tblGrid>
      <w:tr w:rsidR="00265BEF" w:rsidRPr="00565ED0" w14:paraId="5005FBAD" w14:textId="77777777" w:rsidTr="00D92788">
        <w:trPr>
          <w:gridAfter w:val="1"/>
          <w:wAfter w:w="75" w:type="dxa"/>
          <w:trHeight w:val="352"/>
        </w:trPr>
        <w:tc>
          <w:tcPr>
            <w:tcW w:w="3085" w:type="dxa"/>
            <w:vMerge w:val="restart"/>
            <w:tcBorders>
              <w:top w:val="single" w:sz="4" w:space="0" w:color="auto"/>
            </w:tcBorders>
          </w:tcPr>
          <w:p w14:paraId="291552D6" w14:textId="77777777" w:rsidR="00265BEF" w:rsidRPr="00565ED0" w:rsidRDefault="00265BEF" w:rsidP="00D92788">
            <w:pPr>
              <w:pStyle w:val="BodyText"/>
              <w:spacing w:before="2"/>
              <w:ind w:right="-1"/>
              <w:jc w:val="center"/>
              <w:rPr>
                <w:iCs/>
              </w:rPr>
            </w:pPr>
            <w:r w:rsidRPr="00565ED0">
              <w:rPr>
                <w:iCs/>
              </w:rPr>
              <w:t>Parameters</w:t>
            </w:r>
          </w:p>
        </w:tc>
        <w:tc>
          <w:tcPr>
            <w:tcW w:w="6082" w:type="dxa"/>
            <w:gridSpan w:val="3"/>
            <w:tcBorders>
              <w:top w:val="single" w:sz="4" w:space="0" w:color="auto"/>
              <w:bottom w:val="single" w:sz="4" w:space="0" w:color="auto"/>
            </w:tcBorders>
          </w:tcPr>
          <w:p w14:paraId="3217A447" w14:textId="77777777" w:rsidR="00265BEF" w:rsidRPr="00565ED0" w:rsidRDefault="00265BEF" w:rsidP="00D92788">
            <w:pPr>
              <w:pStyle w:val="BodyText"/>
              <w:spacing w:before="2"/>
              <w:ind w:right="-1"/>
              <w:jc w:val="center"/>
              <w:rPr>
                <w:iCs/>
              </w:rPr>
            </w:pPr>
            <w:r w:rsidRPr="00565ED0">
              <w:rPr>
                <w:iCs/>
              </w:rPr>
              <w:t>Treatments</w:t>
            </w:r>
          </w:p>
        </w:tc>
      </w:tr>
      <w:tr w:rsidR="00265BEF" w:rsidRPr="00565ED0" w14:paraId="28FEAC8C" w14:textId="77777777" w:rsidTr="00D92788">
        <w:trPr>
          <w:trHeight w:val="177"/>
        </w:trPr>
        <w:tc>
          <w:tcPr>
            <w:tcW w:w="3085" w:type="dxa"/>
            <w:vMerge/>
            <w:tcBorders>
              <w:bottom w:val="single" w:sz="4" w:space="0" w:color="auto"/>
            </w:tcBorders>
          </w:tcPr>
          <w:p w14:paraId="10950B6B" w14:textId="77777777" w:rsidR="00265BEF" w:rsidRPr="00565ED0" w:rsidRDefault="00265BEF" w:rsidP="00D92788">
            <w:pPr>
              <w:pStyle w:val="BodyText"/>
              <w:spacing w:before="2"/>
              <w:ind w:right="-1"/>
              <w:jc w:val="center"/>
              <w:rPr>
                <w:iCs/>
              </w:rPr>
            </w:pPr>
          </w:p>
        </w:tc>
        <w:tc>
          <w:tcPr>
            <w:tcW w:w="1914" w:type="dxa"/>
            <w:tcBorders>
              <w:top w:val="single" w:sz="4" w:space="0" w:color="auto"/>
              <w:bottom w:val="single" w:sz="4" w:space="0" w:color="auto"/>
            </w:tcBorders>
          </w:tcPr>
          <w:p w14:paraId="40E3CD1B" w14:textId="77777777" w:rsidR="00265BEF" w:rsidRPr="00565ED0" w:rsidRDefault="00265BEF" w:rsidP="00D92788">
            <w:pPr>
              <w:pStyle w:val="BodyText"/>
              <w:spacing w:before="2"/>
              <w:ind w:right="-1"/>
              <w:jc w:val="center"/>
              <w:rPr>
                <w:iCs/>
              </w:rPr>
            </w:pPr>
            <w:r w:rsidRPr="00565ED0">
              <w:rPr>
                <w:iCs/>
              </w:rPr>
              <w:t>T0</w:t>
            </w:r>
          </w:p>
        </w:tc>
        <w:tc>
          <w:tcPr>
            <w:tcW w:w="1940" w:type="dxa"/>
            <w:tcBorders>
              <w:top w:val="single" w:sz="4" w:space="0" w:color="auto"/>
              <w:bottom w:val="single" w:sz="4" w:space="0" w:color="auto"/>
            </w:tcBorders>
          </w:tcPr>
          <w:p w14:paraId="7E40585A" w14:textId="77777777" w:rsidR="00265BEF" w:rsidRPr="00565ED0" w:rsidRDefault="00265BEF" w:rsidP="00D92788">
            <w:pPr>
              <w:pStyle w:val="BodyText"/>
              <w:spacing w:before="2"/>
              <w:ind w:right="-1"/>
              <w:jc w:val="center"/>
              <w:rPr>
                <w:iCs/>
              </w:rPr>
            </w:pPr>
            <w:r w:rsidRPr="00565ED0">
              <w:rPr>
                <w:iCs/>
              </w:rPr>
              <w:t>T1</w:t>
            </w:r>
          </w:p>
        </w:tc>
        <w:tc>
          <w:tcPr>
            <w:tcW w:w="2303" w:type="dxa"/>
            <w:gridSpan w:val="2"/>
            <w:tcBorders>
              <w:top w:val="single" w:sz="4" w:space="0" w:color="auto"/>
              <w:bottom w:val="single" w:sz="4" w:space="0" w:color="auto"/>
            </w:tcBorders>
          </w:tcPr>
          <w:p w14:paraId="058A62D8" w14:textId="77777777" w:rsidR="00265BEF" w:rsidRPr="00565ED0" w:rsidRDefault="00265BEF" w:rsidP="00D92788">
            <w:pPr>
              <w:pStyle w:val="BodyText"/>
              <w:spacing w:before="2"/>
              <w:ind w:right="-1"/>
              <w:jc w:val="center"/>
              <w:rPr>
                <w:iCs/>
              </w:rPr>
            </w:pPr>
            <w:r w:rsidRPr="00565ED0">
              <w:rPr>
                <w:iCs/>
              </w:rPr>
              <w:t>T2</w:t>
            </w:r>
          </w:p>
        </w:tc>
      </w:tr>
      <w:tr w:rsidR="00265BEF" w:rsidRPr="00565ED0" w14:paraId="6B14FEC2" w14:textId="77777777" w:rsidTr="00D92788">
        <w:trPr>
          <w:trHeight w:val="352"/>
        </w:trPr>
        <w:tc>
          <w:tcPr>
            <w:tcW w:w="3085" w:type="dxa"/>
          </w:tcPr>
          <w:p w14:paraId="4D2E338D" w14:textId="77777777" w:rsidR="00265BEF" w:rsidRPr="00565ED0" w:rsidRDefault="00265BEF" w:rsidP="00D92788">
            <w:pPr>
              <w:pStyle w:val="BodyText"/>
              <w:ind w:right="-1"/>
              <w:rPr>
                <w:iCs/>
              </w:rPr>
            </w:pPr>
            <w:r w:rsidRPr="00565ED0">
              <w:t xml:space="preserve">Flavonoid </w:t>
            </w:r>
          </w:p>
        </w:tc>
        <w:tc>
          <w:tcPr>
            <w:tcW w:w="1914" w:type="dxa"/>
          </w:tcPr>
          <w:p w14:paraId="007C8703" w14:textId="77777777" w:rsidR="00265BEF" w:rsidRPr="00565ED0" w:rsidRDefault="00265BEF" w:rsidP="00D92788">
            <w:pPr>
              <w:pStyle w:val="BodyText"/>
              <w:ind w:right="-1"/>
              <w:jc w:val="center"/>
              <w:rPr>
                <w:iCs/>
              </w:rPr>
            </w:pPr>
            <w:r w:rsidRPr="00565ED0">
              <w:rPr>
                <w:spacing w:val="-4"/>
              </w:rPr>
              <w:t>355,91</w:t>
            </w:r>
          </w:p>
        </w:tc>
        <w:tc>
          <w:tcPr>
            <w:tcW w:w="1940" w:type="dxa"/>
          </w:tcPr>
          <w:p w14:paraId="445428F3" w14:textId="77777777" w:rsidR="00265BEF" w:rsidRPr="00565ED0" w:rsidRDefault="00265BEF" w:rsidP="00D92788">
            <w:pPr>
              <w:pStyle w:val="BodyText"/>
              <w:ind w:right="-1"/>
              <w:jc w:val="center"/>
              <w:rPr>
                <w:iCs/>
              </w:rPr>
            </w:pPr>
            <w:r w:rsidRPr="00565ED0">
              <w:rPr>
                <w:spacing w:val="-4"/>
              </w:rPr>
              <w:t>377,16</w:t>
            </w:r>
          </w:p>
        </w:tc>
        <w:tc>
          <w:tcPr>
            <w:tcW w:w="2303" w:type="dxa"/>
            <w:gridSpan w:val="2"/>
          </w:tcPr>
          <w:p w14:paraId="6BB3C838" w14:textId="77777777" w:rsidR="00265BEF" w:rsidRPr="00565ED0" w:rsidRDefault="00265BEF" w:rsidP="00D92788">
            <w:pPr>
              <w:pStyle w:val="BodyText"/>
              <w:ind w:right="-1"/>
              <w:jc w:val="center"/>
              <w:rPr>
                <w:iCs/>
              </w:rPr>
            </w:pPr>
            <w:r w:rsidRPr="00565ED0">
              <w:rPr>
                <w:spacing w:val="-4"/>
              </w:rPr>
              <w:t>380,93</w:t>
            </w:r>
          </w:p>
        </w:tc>
      </w:tr>
      <w:tr w:rsidR="00265BEF" w:rsidRPr="00565ED0" w14:paraId="08A47368" w14:textId="77777777" w:rsidTr="00D92788">
        <w:trPr>
          <w:trHeight w:val="352"/>
        </w:trPr>
        <w:tc>
          <w:tcPr>
            <w:tcW w:w="3085" w:type="dxa"/>
            <w:tcBorders>
              <w:bottom w:val="single" w:sz="4" w:space="0" w:color="auto"/>
            </w:tcBorders>
          </w:tcPr>
          <w:p w14:paraId="1F7E4068" w14:textId="77777777" w:rsidR="00265BEF" w:rsidRPr="00565ED0" w:rsidRDefault="00265BEF" w:rsidP="00D92788">
            <w:pPr>
              <w:pStyle w:val="BodyText"/>
              <w:spacing w:before="2"/>
              <w:ind w:right="-1"/>
              <w:rPr>
                <w:iCs/>
              </w:rPr>
            </w:pPr>
            <w:r w:rsidRPr="00565ED0">
              <w:t xml:space="preserve">Tannin </w:t>
            </w:r>
          </w:p>
        </w:tc>
        <w:tc>
          <w:tcPr>
            <w:tcW w:w="1914" w:type="dxa"/>
            <w:tcBorders>
              <w:bottom w:val="single" w:sz="4" w:space="0" w:color="auto"/>
            </w:tcBorders>
          </w:tcPr>
          <w:p w14:paraId="497986DC" w14:textId="77777777" w:rsidR="00265BEF" w:rsidRPr="00565ED0" w:rsidRDefault="00265BEF" w:rsidP="00D92788">
            <w:pPr>
              <w:pStyle w:val="BodyText"/>
              <w:spacing w:before="2"/>
              <w:ind w:right="-1"/>
              <w:jc w:val="center"/>
              <w:rPr>
                <w:iCs/>
              </w:rPr>
            </w:pPr>
            <w:r w:rsidRPr="00565ED0">
              <w:rPr>
                <w:spacing w:val="-4"/>
              </w:rPr>
              <w:t>3,79</w:t>
            </w:r>
          </w:p>
        </w:tc>
        <w:tc>
          <w:tcPr>
            <w:tcW w:w="1940" w:type="dxa"/>
            <w:tcBorders>
              <w:bottom w:val="single" w:sz="4" w:space="0" w:color="auto"/>
            </w:tcBorders>
          </w:tcPr>
          <w:p w14:paraId="56377EC9" w14:textId="77777777" w:rsidR="00265BEF" w:rsidRPr="00565ED0" w:rsidRDefault="00265BEF" w:rsidP="00D92788">
            <w:pPr>
              <w:pStyle w:val="BodyText"/>
              <w:spacing w:before="2"/>
              <w:ind w:right="-1"/>
              <w:jc w:val="center"/>
              <w:rPr>
                <w:iCs/>
              </w:rPr>
            </w:pPr>
            <w:r w:rsidRPr="00565ED0">
              <w:rPr>
                <w:spacing w:val="-4"/>
              </w:rPr>
              <w:t>3,39</w:t>
            </w:r>
          </w:p>
        </w:tc>
        <w:tc>
          <w:tcPr>
            <w:tcW w:w="2303" w:type="dxa"/>
            <w:gridSpan w:val="2"/>
            <w:tcBorders>
              <w:bottom w:val="single" w:sz="4" w:space="0" w:color="auto"/>
            </w:tcBorders>
          </w:tcPr>
          <w:p w14:paraId="2A07CF32" w14:textId="77777777" w:rsidR="00265BEF" w:rsidRPr="00565ED0" w:rsidRDefault="00265BEF" w:rsidP="00D92788">
            <w:pPr>
              <w:pStyle w:val="BodyText"/>
              <w:spacing w:before="2"/>
              <w:ind w:right="-1"/>
              <w:jc w:val="center"/>
              <w:rPr>
                <w:iCs/>
              </w:rPr>
            </w:pPr>
            <w:r w:rsidRPr="00565ED0">
              <w:rPr>
                <w:spacing w:val="-4"/>
              </w:rPr>
              <w:t>2,99</w:t>
            </w:r>
          </w:p>
        </w:tc>
      </w:tr>
    </w:tbl>
    <w:p w14:paraId="23C0221A" w14:textId="0ECB1FDD" w:rsidR="00265BEF" w:rsidRPr="00ED5574" w:rsidRDefault="00265BEF" w:rsidP="00ED5574">
      <w:pPr>
        <w:tabs>
          <w:tab w:val="left" w:pos="709"/>
          <w:tab w:val="left" w:pos="851"/>
        </w:tabs>
        <w:spacing w:after="0" w:line="360" w:lineRule="auto"/>
        <w:ind w:left="709" w:hanging="567"/>
        <w:jc w:val="both"/>
        <w:rPr>
          <w:rFonts w:ascii="Times New Roman" w:hAnsi="Times New Roman" w:cs="Times New Roman"/>
          <w:sz w:val="20"/>
          <w:szCs w:val="20"/>
        </w:rPr>
      </w:pPr>
      <w:r w:rsidRPr="00565ED0">
        <w:rPr>
          <w:rFonts w:ascii="Times New Roman" w:hAnsi="Times New Roman" w:cs="Times New Roman"/>
          <w:sz w:val="20"/>
          <w:szCs w:val="20"/>
        </w:rPr>
        <w:lastRenderedPageBreak/>
        <w:t xml:space="preserve">Source: Result of laboratory analysis </w:t>
      </w:r>
      <w:proofErr w:type="spellStart"/>
      <w:r w:rsidRPr="00565ED0">
        <w:rPr>
          <w:rFonts w:ascii="Times New Roman" w:hAnsi="Times New Roman" w:cs="Times New Roman"/>
          <w:sz w:val="20"/>
          <w:szCs w:val="20"/>
        </w:rPr>
        <w:t>conducated</w:t>
      </w:r>
      <w:proofErr w:type="spellEnd"/>
      <w:r w:rsidRPr="00565ED0">
        <w:rPr>
          <w:rFonts w:ascii="Times New Roman" w:hAnsi="Times New Roman" w:cs="Times New Roman"/>
          <w:sz w:val="20"/>
          <w:szCs w:val="20"/>
        </w:rPr>
        <w:t xml:space="preserve"> at the Laboratory of Nutrition and Feed Sciences, Faculty of Animal and Agricultural Sciences, </w:t>
      </w:r>
      <w:proofErr w:type="spellStart"/>
      <w:r w:rsidRPr="00565ED0">
        <w:rPr>
          <w:rFonts w:ascii="Times New Roman" w:hAnsi="Times New Roman" w:cs="Times New Roman"/>
          <w:sz w:val="20"/>
          <w:szCs w:val="20"/>
        </w:rPr>
        <w:t>Diponegoro</w:t>
      </w:r>
      <w:proofErr w:type="spellEnd"/>
      <w:r w:rsidRPr="00565ED0">
        <w:rPr>
          <w:rFonts w:ascii="Times New Roman" w:hAnsi="Times New Roman" w:cs="Times New Roman"/>
          <w:sz w:val="20"/>
          <w:szCs w:val="20"/>
        </w:rPr>
        <w:t xml:space="preserve"> University (2025). </w:t>
      </w:r>
    </w:p>
    <w:p w14:paraId="1CE90AC0" w14:textId="77777777" w:rsidR="00265BEF" w:rsidRPr="00565ED0" w:rsidRDefault="00265BEF" w:rsidP="00ED5574">
      <w:pPr>
        <w:pStyle w:val="ListParagraph"/>
        <w:numPr>
          <w:ilvl w:val="1"/>
          <w:numId w:val="1"/>
        </w:numPr>
        <w:spacing w:before="240" w:line="360" w:lineRule="auto"/>
        <w:ind w:left="426" w:hanging="426"/>
        <w:rPr>
          <w:rFonts w:ascii="Times New Roman" w:hAnsi="Times New Roman" w:cs="Times New Roman"/>
          <w:b/>
          <w:bCs/>
          <w:sz w:val="24"/>
          <w:szCs w:val="24"/>
        </w:rPr>
      </w:pPr>
      <w:r w:rsidRPr="00565ED0">
        <w:rPr>
          <w:rFonts w:ascii="Times New Roman" w:hAnsi="Times New Roman" w:cs="Times New Roman"/>
          <w:b/>
          <w:bCs/>
          <w:sz w:val="24"/>
          <w:szCs w:val="24"/>
        </w:rPr>
        <w:t>Experimental Design</w:t>
      </w:r>
    </w:p>
    <w:p w14:paraId="334E3048" w14:textId="108D1A68" w:rsidR="00265BEF" w:rsidRDefault="00EB407E" w:rsidP="00265BEF">
      <w:pPr>
        <w:pStyle w:val="ListParagraph"/>
        <w:spacing w:line="360" w:lineRule="auto"/>
        <w:ind w:left="0" w:firstLine="426"/>
        <w:jc w:val="both"/>
        <w:rPr>
          <w:rFonts w:ascii="Times New Roman" w:hAnsi="Times New Roman" w:cs="Times New Roman"/>
          <w:sz w:val="24"/>
          <w:szCs w:val="24"/>
        </w:rPr>
      </w:pPr>
      <w:r w:rsidRPr="000D02AD">
        <w:rPr>
          <w:rFonts w:ascii="Times New Roman" w:hAnsi="Times New Roman" w:cs="Times New Roman"/>
          <w:sz w:val="24"/>
          <w:szCs w:val="24"/>
        </w:rPr>
        <w:t xml:space="preserve">This study was designed using three treatments with different levels of </w:t>
      </w:r>
      <w:r w:rsidRPr="000D02AD">
        <w:rPr>
          <w:rFonts w:ascii="Times New Roman" w:hAnsi="Times New Roman" w:cs="Times New Roman"/>
          <w:i/>
          <w:iCs/>
          <w:sz w:val="24"/>
          <w:szCs w:val="24"/>
        </w:rPr>
        <w:t xml:space="preserve">Terminalia </w:t>
      </w:r>
      <w:proofErr w:type="spellStart"/>
      <w:r w:rsidRPr="000D02AD">
        <w:rPr>
          <w:rFonts w:ascii="Times New Roman" w:hAnsi="Times New Roman" w:cs="Times New Roman"/>
          <w:i/>
          <w:iCs/>
          <w:sz w:val="24"/>
          <w:szCs w:val="24"/>
        </w:rPr>
        <w:t>catappa</w:t>
      </w:r>
      <w:proofErr w:type="spellEnd"/>
      <w:r w:rsidRPr="000D02AD">
        <w:rPr>
          <w:rFonts w:ascii="Times New Roman" w:hAnsi="Times New Roman" w:cs="Times New Roman"/>
          <w:i/>
          <w:iCs/>
          <w:sz w:val="24"/>
          <w:szCs w:val="24"/>
        </w:rPr>
        <w:t xml:space="preserve"> </w:t>
      </w:r>
      <w:r w:rsidRPr="000D02AD">
        <w:rPr>
          <w:rFonts w:ascii="Times New Roman" w:hAnsi="Times New Roman" w:cs="Times New Roman"/>
          <w:sz w:val="24"/>
          <w:szCs w:val="24"/>
        </w:rPr>
        <w:t>L. leaves extract supplementation, including:</w:t>
      </w:r>
    </w:p>
    <w:p w14:paraId="5ED3902D" w14:textId="77777777" w:rsidR="002035E9" w:rsidRPr="000D02AD" w:rsidRDefault="002035E9" w:rsidP="00265BEF">
      <w:pPr>
        <w:pStyle w:val="ListParagraph"/>
        <w:spacing w:line="360" w:lineRule="auto"/>
        <w:ind w:left="0" w:firstLine="426"/>
        <w:jc w:val="both"/>
        <w:rPr>
          <w:rFonts w:ascii="Times New Roman" w:hAnsi="Times New Roman" w:cs="Times New Roman"/>
          <w:sz w:val="24"/>
          <w:szCs w:val="24"/>
        </w:rPr>
      </w:pPr>
    </w:p>
    <w:p w14:paraId="599F0D66" w14:textId="23584323" w:rsidR="00265BEF" w:rsidRPr="000D02AD" w:rsidRDefault="00265BEF" w:rsidP="00265BEF">
      <w:pPr>
        <w:pStyle w:val="ListParagraph"/>
        <w:tabs>
          <w:tab w:val="left" w:pos="1548"/>
        </w:tabs>
        <w:spacing w:line="360" w:lineRule="auto"/>
        <w:ind w:left="0"/>
        <w:jc w:val="both"/>
        <w:rPr>
          <w:rFonts w:ascii="Times New Roman" w:hAnsi="Times New Roman" w:cs="Times New Roman"/>
          <w:i/>
          <w:iCs/>
          <w:sz w:val="24"/>
          <w:szCs w:val="24"/>
        </w:rPr>
      </w:pPr>
      <w:r w:rsidRPr="000D02AD">
        <w:rPr>
          <w:rFonts w:ascii="Times New Roman" w:hAnsi="Times New Roman" w:cs="Times New Roman"/>
          <w:sz w:val="24"/>
          <w:szCs w:val="24"/>
        </w:rPr>
        <w:t xml:space="preserve">T0 = </w:t>
      </w:r>
      <w:r w:rsidR="00AF0789" w:rsidRPr="000D02AD">
        <w:rPr>
          <w:rFonts w:ascii="Times New Roman" w:hAnsi="Times New Roman" w:cs="Times New Roman"/>
          <w:sz w:val="24"/>
          <w:szCs w:val="24"/>
        </w:rPr>
        <w:t>Control ration without</w:t>
      </w:r>
      <w:r w:rsidRPr="000D02AD">
        <w:rPr>
          <w:rFonts w:ascii="Times New Roman" w:hAnsi="Times New Roman" w:cs="Times New Roman"/>
          <w:sz w:val="24"/>
          <w:szCs w:val="24"/>
        </w:rPr>
        <w:t xml:space="preserve"> </w:t>
      </w:r>
      <w:r w:rsidRPr="000D02AD">
        <w:rPr>
          <w:rFonts w:ascii="Times New Roman" w:hAnsi="Times New Roman" w:cs="Times New Roman"/>
          <w:i/>
          <w:iCs/>
          <w:sz w:val="24"/>
          <w:szCs w:val="24"/>
        </w:rPr>
        <w:t xml:space="preserve">Terminalia </w:t>
      </w:r>
      <w:proofErr w:type="spellStart"/>
      <w:r w:rsidRPr="000D02AD">
        <w:rPr>
          <w:rFonts w:ascii="Times New Roman" w:hAnsi="Times New Roman" w:cs="Times New Roman"/>
          <w:i/>
          <w:iCs/>
          <w:sz w:val="24"/>
          <w:szCs w:val="24"/>
        </w:rPr>
        <w:t>Catappa</w:t>
      </w:r>
      <w:proofErr w:type="spellEnd"/>
      <w:r w:rsidRPr="000D02AD">
        <w:rPr>
          <w:rFonts w:ascii="Times New Roman" w:hAnsi="Times New Roman" w:cs="Times New Roman"/>
          <w:i/>
          <w:iCs/>
          <w:sz w:val="24"/>
          <w:szCs w:val="24"/>
        </w:rPr>
        <w:t xml:space="preserve"> </w:t>
      </w:r>
      <w:r w:rsidRPr="000D02AD">
        <w:rPr>
          <w:rFonts w:ascii="Times New Roman" w:hAnsi="Times New Roman" w:cs="Times New Roman"/>
          <w:sz w:val="24"/>
          <w:szCs w:val="24"/>
        </w:rPr>
        <w:t>L</w:t>
      </w:r>
      <w:r w:rsidR="00AF0789" w:rsidRPr="000D02AD">
        <w:rPr>
          <w:rFonts w:ascii="Times New Roman" w:hAnsi="Times New Roman" w:cs="Times New Roman"/>
          <w:sz w:val="24"/>
          <w:szCs w:val="24"/>
        </w:rPr>
        <w:t xml:space="preserve"> lea</w:t>
      </w:r>
      <w:r w:rsidR="00076750">
        <w:rPr>
          <w:rFonts w:ascii="Times New Roman" w:hAnsi="Times New Roman" w:cs="Times New Roman"/>
          <w:sz w:val="24"/>
          <w:szCs w:val="24"/>
        </w:rPr>
        <w:t>f</w:t>
      </w:r>
      <w:r w:rsidR="00AF0789" w:rsidRPr="000D02AD">
        <w:rPr>
          <w:rFonts w:ascii="Times New Roman" w:hAnsi="Times New Roman" w:cs="Times New Roman"/>
          <w:sz w:val="24"/>
          <w:szCs w:val="24"/>
        </w:rPr>
        <w:t xml:space="preserve"> extract supplementation.</w:t>
      </w:r>
    </w:p>
    <w:p w14:paraId="7DB8C7E1" w14:textId="6C0DC648" w:rsidR="00AF0789" w:rsidRPr="000D02AD" w:rsidRDefault="00265BEF" w:rsidP="00AF0789">
      <w:pPr>
        <w:pStyle w:val="ListParagraph"/>
        <w:tabs>
          <w:tab w:val="left" w:pos="1548"/>
        </w:tabs>
        <w:spacing w:line="360" w:lineRule="auto"/>
        <w:ind w:left="0"/>
        <w:jc w:val="both"/>
        <w:rPr>
          <w:rFonts w:ascii="Times New Roman" w:hAnsi="Times New Roman" w:cs="Times New Roman"/>
          <w:sz w:val="24"/>
          <w:szCs w:val="24"/>
        </w:rPr>
      </w:pPr>
      <w:r w:rsidRPr="000D02AD">
        <w:rPr>
          <w:rFonts w:ascii="Times New Roman" w:hAnsi="Times New Roman" w:cs="Times New Roman"/>
          <w:sz w:val="24"/>
          <w:szCs w:val="24"/>
        </w:rPr>
        <w:t>T1 = Ra</w:t>
      </w:r>
      <w:r w:rsidR="00AF0789" w:rsidRPr="000D02AD">
        <w:rPr>
          <w:rFonts w:ascii="Times New Roman" w:hAnsi="Times New Roman" w:cs="Times New Roman"/>
          <w:sz w:val="24"/>
          <w:szCs w:val="24"/>
        </w:rPr>
        <w:t>tion with</w:t>
      </w:r>
      <w:r w:rsidRPr="000D02AD">
        <w:rPr>
          <w:rFonts w:ascii="Times New Roman" w:hAnsi="Times New Roman" w:cs="Times New Roman"/>
          <w:sz w:val="24"/>
          <w:szCs w:val="24"/>
        </w:rPr>
        <w:t xml:space="preserve"> 1% </w:t>
      </w:r>
      <w:r w:rsidR="00AF0789" w:rsidRPr="000D02AD">
        <w:rPr>
          <w:rFonts w:ascii="Times New Roman" w:hAnsi="Times New Roman" w:cs="Times New Roman"/>
          <w:i/>
          <w:iCs/>
          <w:sz w:val="24"/>
          <w:szCs w:val="24"/>
        </w:rPr>
        <w:t xml:space="preserve">Terminalia </w:t>
      </w:r>
      <w:proofErr w:type="spellStart"/>
      <w:r w:rsidR="00AF0789" w:rsidRPr="000D02AD">
        <w:rPr>
          <w:rFonts w:ascii="Times New Roman" w:hAnsi="Times New Roman" w:cs="Times New Roman"/>
          <w:i/>
          <w:iCs/>
          <w:sz w:val="24"/>
          <w:szCs w:val="24"/>
        </w:rPr>
        <w:t>Catappa</w:t>
      </w:r>
      <w:proofErr w:type="spellEnd"/>
      <w:r w:rsidR="00AF0789" w:rsidRPr="000D02AD">
        <w:rPr>
          <w:rFonts w:ascii="Times New Roman" w:hAnsi="Times New Roman" w:cs="Times New Roman"/>
          <w:i/>
          <w:iCs/>
          <w:sz w:val="24"/>
          <w:szCs w:val="24"/>
        </w:rPr>
        <w:t xml:space="preserve"> </w:t>
      </w:r>
      <w:r w:rsidR="00AF0789" w:rsidRPr="000D02AD">
        <w:rPr>
          <w:rFonts w:ascii="Times New Roman" w:hAnsi="Times New Roman" w:cs="Times New Roman"/>
          <w:sz w:val="24"/>
          <w:szCs w:val="24"/>
        </w:rPr>
        <w:t xml:space="preserve">L </w:t>
      </w:r>
      <w:r w:rsidR="00076750" w:rsidRPr="000D02AD">
        <w:rPr>
          <w:rFonts w:ascii="Times New Roman" w:hAnsi="Times New Roman" w:cs="Times New Roman"/>
          <w:sz w:val="24"/>
          <w:szCs w:val="24"/>
        </w:rPr>
        <w:t>lea</w:t>
      </w:r>
      <w:r w:rsidR="00076750">
        <w:rPr>
          <w:rFonts w:ascii="Times New Roman" w:hAnsi="Times New Roman" w:cs="Times New Roman"/>
          <w:sz w:val="24"/>
          <w:szCs w:val="24"/>
        </w:rPr>
        <w:t>f</w:t>
      </w:r>
      <w:r w:rsidR="00AF0789" w:rsidRPr="000D02AD">
        <w:rPr>
          <w:rFonts w:ascii="Times New Roman" w:hAnsi="Times New Roman" w:cs="Times New Roman"/>
          <w:sz w:val="24"/>
          <w:szCs w:val="24"/>
        </w:rPr>
        <w:t xml:space="preserve"> extract supplementation.</w:t>
      </w:r>
    </w:p>
    <w:p w14:paraId="238B1CB6" w14:textId="3D4F7680" w:rsidR="00265BEF" w:rsidRPr="000D02AD" w:rsidRDefault="00265BEF" w:rsidP="00AF0789">
      <w:pPr>
        <w:pStyle w:val="ListParagraph"/>
        <w:tabs>
          <w:tab w:val="left" w:pos="1548"/>
        </w:tabs>
        <w:spacing w:line="360" w:lineRule="auto"/>
        <w:ind w:left="0"/>
        <w:jc w:val="both"/>
        <w:rPr>
          <w:rFonts w:ascii="Times New Roman" w:hAnsi="Times New Roman" w:cs="Times New Roman"/>
          <w:sz w:val="24"/>
          <w:szCs w:val="24"/>
        </w:rPr>
      </w:pPr>
      <w:r w:rsidRPr="000D02AD">
        <w:rPr>
          <w:rFonts w:ascii="Times New Roman" w:hAnsi="Times New Roman" w:cs="Times New Roman"/>
          <w:sz w:val="24"/>
          <w:szCs w:val="24"/>
        </w:rPr>
        <w:t xml:space="preserve">T2 = </w:t>
      </w:r>
      <w:r w:rsidR="00AF0789" w:rsidRPr="000D02AD">
        <w:rPr>
          <w:rFonts w:ascii="Times New Roman" w:hAnsi="Times New Roman" w:cs="Times New Roman"/>
          <w:sz w:val="24"/>
          <w:szCs w:val="24"/>
        </w:rPr>
        <w:t xml:space="preserve">Ration with </w:t>
      </w:r>
      <w:r w:rsidRPr="000D02AD">
        <w:rPr>
          <w:rFonts w:ascii="Times New Roman" w:hAnsi="Times New Roman" w:cs="Times New Roman"/>
          <w:sz w:val="24"/>
          <w:szCs w:val="24"/>
        </w:rPr>
        <w:t xml:space="preserve">2% </w:t>
      </w:r>
      <w:r w:rsidR="00AF0789" w:rsidRPr="000D02AD">
        <w:rPr>
          <w:rFonts w:ascii="Times New Roman" w:hAnsi="Times New Roman" w:cs="Times New Roman"/>
          <w:i/>
          <w:iCs/>
          <w:sz w:val="24"/>
          <w:szCs w:val="24"/>
        </w:rPr>
        <w:t xml:space="preserve">Terminalia </w:t>
      </w:r>
      <w:proofErr w:type="spellStart"/>
      <w:r w:rsidR="00AF0789" w:rsidRPr="000D02AD">
        <w:rPr>
          <w:rFonts w:ascii="Times New Roman" w:hAnsi="Times New Roman" w:cs="Times New Roman"/>
          <w:i/>
          <w:iCs/>
          <w:sz w:val="24"/>
          <w:szCs w:val="24"/>
        </w:rPr>
        <w:t>Catappa</w:t>
      </w:r>
      <w:proofErr w:type="spellEnd"/>
      <w:r w:rsidR="00AF0789" w:rsidRPr="000D02AD">
        <w:rPr>
          <w:rFonts w:ascii="Times New Roman" w:hAnsi="Times New Roman" w:cs="Times New Roman"/>
          <w:i/>
          <w:iCs/>
          <w:sz w:val="24"/>
          <w:szCs w:val="24"/>
        </w:rPr>
        <w:t xml:space="preserve"> </w:t>
      </w:r>
      <w:r w:rsidR="00AF0789" w:rsidRPr="000D02AD">
        <w:rPr>
          <w:rFonts w:ascii="Times New Roman" w:hAnsi="Times New Roman" w:cs="Times New Roman"/>
          <w:sz w:val="24"/>
          <w:szCs w:val="24"/>
        </w:rPr>
        <w:t xml:space="preserve">L </w:t>
      </w:r>
      <w:r w:rsidR="00076750" w:rsidRPr="000D02AD">
        <w:rPr>
          <w:rFonts w:ascii="Times New Roman" w:hAnsi="Times New Roman" w:cs="Times New Roman"/>
          <w:sz w:val="24"/>
          <w:szCs w:val="24"/>
        </w:rPr>
        <w:t>lea</w:t>
      </w:r>
      <w:r w:rsidR="00076750">
        <w:rPr>
          <w:rFonts w:ascii="Times New Roman" w:hAnsi="Times New Roman" w:cs="Times New Roman"/>
          <w:sz w:val="24"/>
          <w:szCs w:val="24"/>
        </w:rPr>
        <w:t>f</w:t>
      </w:r>
      <w:r w:rsidR="00AF0789" w:rsidRPr="000D02AD">
        <w:rPr>
          <w:rFonts w:ascii="Times New Roman" w:hAnsi="Times New Roman" w:cs="Times New Roman"/>
          <w:sz w:val="24"/>
          <w:szCs w:val="24"/>
        </w:rPr>
        <w:t xml:space="preserve"> extract supplementation.</w:t>
      </w:r>
    </w:p>
    <w:p w14:paraId="2AD945BD" w14:textId="77777777" w:rsidR="00265BEF" w:rsidRPr="007507C8" w:rsidRDefault="00265BEF" w:rsidP="00265BEF">
      <w:pPr>
        <w:pStyle w:val="ListParagraph"/>
        <w:spacing w:line="240" w:lineRule="auto"/>
        <w:ind w:left="0"/>
        <w:jc w:val="both"/>
        <w:rPr>
          <w:rFonts w:ascii="Times New Roman" w:hAnsi="Times New Roman" w:cs="Times New Roman"/>
          <w:sz w:val="24"/>
          <w:szCs w:val="24"/>
        </w:rPr>
      </w:pPr>
    </w:p>
    <w:p w14:paraId="6C553268" w14:textId="77777777" w:rsidR="00265BEF" w:rsidRPr="007507C8"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7507C8">
        <w:rPr>
          <w:rFonts w:ascii="Times New Roman" w:hAnsi="Times New Roman" w:cs="Times New Roman"/>
          <w:b/>
          <w:bCs/>
          <w:sz w:val="24"/>
          <w:szCs w:val="24"/>
        </w:rPr>
        <w:t>In Vitro Fermentation Procedure</w:t>
      </w:r>
    </w:p>
    <w:p w14:paraId="1B7BBC51" w14:textId="6B7543CC" w:rsidR="00265BEF" w:rsidRPr="00432A2A" w:rsidRDefault="007E758D" w:rsidP="00265BEF">
      <w:pPr>
        <w:pStyle w:val="ListParagraph"/>
        <w:spacing w:line="360" w:lineRule="auto"/>
        <w:ind w:left="0" w:firstLine="426"/>
        <w:jc w:val="both"/>
        <w:rPr>
          <w:rFonts w:ascii="Times New Roman" w:hAnsi="Times New Roman" w:cs="Times New Roman"/>
          <w:sz w:val="24"/>
          <w:szCs w:val="24"/>
          <w:highlight w:val="yellow"/>
        </w:rPr>
      </w:pPr>
      <w:r w:rsidRPr="00EB2C3C">
        <w:rPr>
          <w:rFonts w:ascii="Times New Roman" w:hAnsi="Times New Roman" w:cs="Times New Roman"/>
          <w:sz w:val="24"/>
          <w:szCs w:val="24"/>
        </w:rPr>
        <w:t>The method of feed fermentability was carried using the in vitro method according to</w:t>
      </w:r>
      <w:r w:rsidR="00265BEF" w:rsidRPr="00EB2C3C">
        <w:rPr>
          <w:rFonts w:ascii="Times New Roman" w:hAnsi="Times New Roman" w:cs="Times New Roman"/>
          <w:sz w:val="24"/>
          <w:szCs w:val="24"/>
        </w:rPr>
        <w:t xml:space="preserve"> Tilley and Terry (1963). </w:t>
      </w:r>
      <w:r w:rsidR="00EB2C3C" w:rsidRPr="00EB2C3C">
        <w:rPr>
          <w:rFonts w:ascii="Times New Roman" w:hAnsi="Times New Roman" w:cs="Times New Roman"/>
          <w:sz w:val="24"/>
          <w:szCs w:val="24"/>
        </w:rPr>
        <w:t>The measurement began with weighing approximately</w:t>
      </w:r>
      <w:r w:rsidR="00265BEF" w:rsidRPr="00EB2C3C">
        <w:rPr>
          <w:rFonts w:ascii="Times New Roman" w:hAnsi="Times New Roman" w:cs="Times New Roman"/>
          <w:sz w:val="24"/>
          <w:szCs w:val="24"/>
        </w:rPr>
        <w:t xml:space="preserve"> 0,55-0,56 g </w:t>
      </w:r>
      <w:r w:rsidR="00EB2C3C" w:rsidRPr="00EB2C3C">
        <w:rPr>
          <w:rFonts w:ascii="Times New Roman" w:hAnsi="Times New Roman" w:cs="Times New Roman"/>
          <w:sz w:val="24"/>
          <w:szCs w:val="24"/>
        </w:rPr>
        <w:t xml:space="preserve">of each sample, followed by </w:t>
      </w:r>
      <w:proofErr w:type="spellStart"/>
      <w:r w:rsidR="00EB2C3C" w:rsidRPr="00EB2C3C">
        <w:rPr>
          <w:rFonts w:ascii="Times New Roman" w:hAnsi="Times New Roman" w:cs="Times New Roman"/>
          <w:sz w:val="24"/>
          <w:szCs w:val="24"/>
        </w:rPr>
        <w:t>puttig</w:t>
      </w:r>
      <w:proofErr w:type="spellEnd"/>
      <w:r w:rsidR="00EB2C3C" w:rsidRPr="00EB2C3C">
        <w:rPr>
          <w:rFonts w:ascii="Times New Roman" w:hAnsi="Times New Roman" w:cs="Times New Roman"/>
          <w:sz w:val="24"/>
          <w:szCs w:val="24"/>
        </w:rPr>
        <w:t xml:space="preserve"> the samples into fermentation tubes what had been labeled based on the treatments and replicated used. The </w:t>
      </w:r>
      <w:proofErr w:type="spellStart"/>
      <w:r w:rsidR="00EB2C3C" w:rsidRPr="00EB2C3C">
        <w:rPr>
          <w:rFonts w:ascii="Times New Roman" w:hAnsi="Times New Roman" w:cs="Times New Roman"/>
          <w:sz w:val="24"/>
          <w:szCs w:val="24"/>
        </w:rPr>
        <w:t>sampel</w:t>
      </w:r>
      <w:proofErr w:type="spellEnd"/>
      <w:r w:rsidR="00EB2C3C" w:rsidRPr="00EB2C3C">
        <w:rPr>
          <w:rFonts w:ascii="Times New Roman" w:hAnsi="Times New Roman" w:cs="Times New Roman"/>
          <w:sz w:val="24"/>
          <w:szCs w:val="24"/>
        </w:rPr>
        <w:t xml:space="preserve"> was then added to </w:t>
      </w:r>
      <w:r w:rsidR="00265BEF" w:rsidRPr="00EB2C3C">
        <w:rPr>
          <w:rFonts w:ascii="Times New Roman" w:hAnsi="Times New Roman" w:cs="Times New Roman"/>
          <w:sz w:val="24"/>
          <w:szCs w:val="24"/>
        </w:rPr>
        <w:t xml:space="preserve">40 ml </w:t>
      </w:r>
      <w:r w:rsidR="00EB2C3C" w:rsidRPr="00EB2C3C">
        <w:rPr>
          <w:rFonts w:ascii="Times New Roman" w:hAnsi="Times New Roman" w:cs="Times New Roman"/>
          <w:sz w:val="24"/>
          <w:szCs w:val="24"/>
        </w:rPr>
        <w:t xml:space="preserve">of McDougall’s solution, which had been previously flushed with </w:t>
      </w:r>
      <w:r w:rsidR="00265BEF" w:rsidRPr="00EB2C3C">
        <w:rPr>
          <w:rFonts w:ascii="Times New Roman" w:hAnsi="Times New Roman" w:cs="Times New Roman"/>
          <w:sz w:val="24"/>
          <w:szCs w:val="24"/>
        </w:rPr>
        <w:t>CO</w:t>
      </w:r>
      <w:r w:rsidR="00265BEF" w:rsidRPr="00EB2C3C">
        <w:rPr>
          <w:rFonts w:ascii="Times New Roman" w:hAnsi="Times New Roman" w:cs="Times New Roman"/>
          <w:sz w:val="24"/>
          <w:szCs w:val="24"/>
          <w:vertAlign w:val="subscript"/>
        </w:rPr>
        <w:t>2</w:t>
      </w:r>
      <w:r w:rsidR="00265BEF" w:rsidRPr="00EB2C3C">
        <w:rPr>
          <w:rFonts w:ascii="Times New Roman" w:hAnsi="Times New Roman" w:cs="Times New Roman"/>
          <w:sz w:val="24"/>
          <w:szCs w:val="24"/>
        </w:rPr>
        <w:t xml:space="preserve"> </w:t>
      </w:r>
      <w:r w:rsidR="00EB2C3C" w:rsidRPr="00EB2C3C">
        <w:rPr>
          <w:rFonts w:ascii="Times New Roman" w:hAnsi="Times New Roman" w:cs="Times New Roman"/>
          <w:sz w:val="24"/>
          <w:szCs w:val="24"/>
        </w:rPr>
        <w:t xml:space="preserve">to change the </w:t>
      </w:r>
      <w:r w:rsidR="00265BEF" w:rsidRPr="00EB2C3C">
        <w:rPr>
          <w:rFonts w:ascii="Times New Roman" w:hAnsi="Times New Roman" w:cs="Times New Roman"/>
          <w:sz w:val="24"/>
          <w:szCs w:val="24"/>
        </w:rPr>
        <w:t xml:space="preserve">pH </w:t>
      </w:r>
      <w:r w:rsidR="00EB2C3C" w:rsidRPr="00EB2C3C">
        <w:rPr>
          <w:rFonts w:ascii="Times New Roman" w:hAnsi="Times New Roman" w:cs="Times New Roman"/>
          <w:sz w:val="24"/>
          <w:szCs w:val="24"/>
        </w:rPr>
        <w:t xml:space="preserve">value </w:t>
      </w:r>
      <w:r w:rsidR="00EB2C3C" w:rsidRPr="008B1100">
        <w:rPr>
          <w:rFonts w:ascii="Times New Roman" w:hAnsi="Times New Roman" w:cs="Times New Roman"/>
          <w:sz w:val="24"/>
          <w:szCs w:val="24"/>
        </w:rPr>
        <w:t xml:space="preserve">to around </w:t>
      </w:r>
      <w:r w:rsidR="00265BEF" w:rsidRPr="008B1100">
        <w:rPr>
          <w:rFonts w:ascii="Times New Roman" w:hAnsi="Times New Roman" w:cs="Times New Roman"/>
          <w:sz w:val="24"/>
          <w:szCs w:val="24"/>
        </w:rPr>
        <w:t xml:space="preserve">6,5 - 6,8. </w:t>
      </w:r>
      <w:r w:rsidR="008B1100" w:rsidRPr="008B1100">
        <w:rPr>
          <w:rFonts w:ascii="Times New Roman" w:hAnsi="Times New Roman" w:cs="Times New Roman"/>
          <w:sz w:val="24"/>
          <w:szCs w:val="24"/>
        </w:rPr>
        <w:t xml:space="preserve">The fermenter tube was then sealed and placed in a </w:t>
      </w:r>
      <w:proofErr w:type="spellStart"/>
      <w:r w:rsidR="008B1100" w:rsidRPr="008B1100">
        <w:rPr>
          <w:rFonts w:ascii="Times New Roman" w:hAnsi="Times New Roman" w:cs="Times New Roman"/>
          <w:sz w:val="24"/>
          <w:szCs w:val="24"/>
        </w:rPr>
        <w:t>waterbath</w:t>
      </w:r>
      <w:proofErr w:type="spellEnd"/>
      <w:r w:rsidR="008B1100" w:rsidRPr="008B1100">
        <w:rPr>
          <w:rFonts w:ascii="Times New Roman" w:hAnsi="Times New Roman" w:cs="Times New Roman"/>
          <w:sz w:val="24"/>
          <w:szCs w:val="24"/>
        </w:rPr>
        <w:t xml:space="preserve"> to allow the McDougall’s solution to reach a </w:t>
      </w:r>
      <w:proofErr w:type="spellStart"/>
      <w:r w:rsidR="008B1100" w:rsidRPr="008B1100">
        <w:rPr>
          <w:rFonts w:ascii="Times New Roman" w:hAnsi="Times New Roman" w:cs="Times New Roman"/>
          <w:sz w:val="24"/>
          <w:szCs w:val="24"/>
        </w:rPr>
        <w:t>temprature</w:t>
      </w:r>
      <w:proofErr w:type="spellEnd"/>
      <w:r w:rsidR="008B1100" w:rsidRPr="008B1100">
        <w:rPr>
          <w:rFonts w:ascii="Times New Roman" w:hAnsi="Times New Roman" w:cs="Times New Roman"/>
          <w:sz w:val="24"/>
          <w:szCs w:val="24"/>
        </w:rPr>
        <w:t xml:space="preserve"> of </w:t>
      </w:r>
      <w:r w:rsidR="00265BEF" w:rsidRPr="008B1100">
        <w:rPr>
          <w:rFonts w:ascii="Times New Roman" w:hAnsi="Times New Roman" w:cs="Times New Roman"/>
          <w:sz w:val="24"/>
          <w:szCs w:val="24"/>
        </w:rPr>
        <w:t>39 ºC</w:t>
      </w:r>
      <w:r w:rsidR="008B1100" w:rsidRPr="008B1100">
        <w:rPr>
          <w:rFonts w:ascii="Times New Roman" w:hAnsi="Times New Roman" w:cs="Times New Roman"/>
          <w:sz w:val="24"/>
          <w:szCs w:val="24"/>
        </w:rPr>
        <w:t xml:space="preserve">. After that, 10 ml of rumen fluid were also </w:t>
      </w:r>
      <w:r w:rsidR="008B1100" w:rsidRPr="005E2B35">
        <w:rPr>
          <w:rFonts w:ascii="Times New Roman" w:hAnsi="Times New Roman" w:cs="Times New Roman"/>
          <w:sz w:val="24"/>
          <w:szCs w:val="24"/>
        </w:rPr>
        <w:t xml:space="preserve">added to the tube. The incubation process was caried out for 3 </w:t>
      </w:r>
      <w:proofErr w:type="gramStart"/>
      <w:r w:rsidR="008B1100" w:rsidRPr="005E2B35">
        <w:rPr>
          <w:rFonts w:ascii="Times New Roman" w:hAnsi="Times New Roman" w:cs="Times New Roman"/>
          <w:sz w:val="24"/>
          <w:szCs w:val="24"/>
        </w:rPr>
        <w:t>hour</w:t>
      </w:r>
      <w:proofErr w:type="gramEnd"/>
      <w:r w:rsidR="008B1100" w:rsidRPr="005E2B35">
        <w:rPr>
          <w:rFonts w:ascii="Times New Roman" w:hAnsi="Times New Roman" w:cs="Times New Roman"/>
          <w:sz w:val="24"/>
          <w:szCs w:val="24"/>
        </w:rPr>
        <w:t xml:space="preserve"> at a </w:t>
      </w:r>
      <w:proofErr w:type="spellStart"/>
      <w:r w:rsidR="008B1100" w:rsidRPr="005E2B35">
        <w:rPr>
          <w:rFonts w:ascii="Times New Roman" w:hAnsi="Times New Roman" w:cs="Times New Roman"/>
          <w:sz w:val="24"/>
          <w:szCs w:val="24"/>
        </w:rPr>
        <w:t>temprature</w:t>
      </w:r>
      <w:proofErr w:type="spellEnd"/>
      <w:r w:rsidR="008B1100" w:rsidRPr="005E2B35">
        <w:rPr>
          <w:rFonts w:ascii="Times New Roman" w:hAnsi="Times New Roman" w:cs="Times New Roman"/>
          <w:sz w:val="24"/>
          <w:szCs w:val="24"/>
        </w:rPr>
        <w:t xml:space="preserve"> of </w:t>
      </w:r>
      <w:r w:rsidR="00265BEF" w:rsidRPr="005E2B35">
        <w:rPr>
          <w:rFonts w:ascii="Times New Roman" w:hAnsi="Times New Roman" w:cs="Times New Roman"/>
          <w:sz w:val="24"/>
          <w:szCs w:val="24"/>
        </w:rPr>
        <w:t xml:space="preserve">39ºC. </w:t>
      </w:r>
      <w:r w:rsidR="005E2B35" w:rsidRPr="005E2B35">
        <w:rPr>
          <w:rFonts w:ascii="Times New Roman" w:hAnsi="Times New Roman" w:cs="Times New Roman"/>
          <w:sz w:val="24"/>
          <w:szCs w:val="24"/>
        </w:rPr>
        <w:t xml:space="preserve">The sample was then centrifuges at a speed of 3000 rpm for 15 minutes. After centrifugation, there was a residue and a supernatant liquid. The supernatant that resulted was then used as a sample for bacterial community analysis. </w:t>
      </w:r>
    </w:p>
    <w:p w14:paraId="74F41EB4" w14:textId="77777777" w:rsidR="00265BEF" w:rsidRPr="00432A2A" w:rsidRDefault="00265BEF" w:rsidP="00265BEF">
      <w:pPr>
        <w:pStyle w:val="ListParagraph"/>
        <w:spacing w:line="240" w:lineRule="auto"/>
        <w:ind w:left="0" w:firstLine="426"/>
        <w:jc w:val="both"/>
        <w:rPr>
          <w:rFonts w:ascii="Times New Roman" w:hAnsi="Times New Roman" w:cs="Times New Roman"/>
          <w:sz w:val="24"/>
          <w:szCs w:val="24"/>
          <w:highlight w:val="yellow"/>
        </w:rPr>
      </w:pPr>
    </w:p>
    <w:p w14:paraId="544AD0D5" w14:textId="77777777" w:rsidR="00265BEF" w:rsidRPr="007507C8"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7507C8">
        <w:rPr>
          <w:rFonts w:ascii="Times New Roman" w:hAnsi="Times New Roman" w:cs="Times New Roman"/>
          <w:b/>
          <w:bCs/>
          <w:sz w:val="24"/>
          <w:szCs w:val="24"/>
        </w:rPr>
        <w:t>16S rRNA Amplicon Sequencing Analysis</w:t>
      </w:r>
    </w:p>
    <w:p w14:paraId="738F58AB" w14:textId="573A0593" w:rsidR="002035E9" w:rsidRPr="00FE2B87" w:rsidRDefault="0048423B" w:rsidP="00FE2B87">
      <w:pPr>
        <w:pStyle w:val="ListParagraph"/>
        <w:spacing w:line="360" w:lineRule="auto"/>
        <w:ind w:left="0" w:firstLine="426"/>
        <w:jc w:val="both"/>
        <w:rPr>
          <w:rFonts w:ascii="Times New Roman" w:hAnsi="Times New Roman" w:cs="Times New Roman"/>
          <w:sz w:val="24"/>
          <w:szCs w:val="24"/>
          <w:highlight w:val="yellow"/>
        </w:rPr>
      </w:pPr>
      <w:r w:rsidRPr="00AD1DD7">
        <w:rPr>
          <w:rFonts w:ascii="Times New Roman" w:hAnsi="Times New Roman" w:cs="Times New Roman"/>
          <w:sz w:val="24"/>
          <w:szCs w:val="24"/>
        </w:rPr>
        <w:t>The procedures for analyzing the 16S rRNA region involve bacterial DNA extraction, amplification of the 16S rRNA gene, electrophoresis, DNA sequencing, and comparison of the sequencing results with a database. Noer (2021), states that the extraction</w:t>
      </w:r>
      <w:r w:rsidR="00AD1DD7" w:rsidRPr="00AD1DD7">
        <w:rPr>
          <w:rFonts w:ascii="Times New Roman" w:hAnsi="Times New Roman" w:cs="Times New Roman"/>
          <w:sz w:val="24"/>
          <w:szCs w:val="24"/>
        </w:rPr>
        <w:t xml:space="preserve"> method selected will depend on the source of the DNA </w:t>
      </w:r>
      <w:proofErr w:type="spellStart"/>
      <w:r w:rsidR="00AD1DD7" w:rsidRPr="00AD1DD7">
        <w:rPr>
          <w:rFonts w:ascii="Times New Roman" w:hAnsi="Times New Roman" w:cs="Times New Roman"/>
          <w:sz w:val="24"/>
          <w:szCs w:val="24"/>
        </w:rPr>
        <w:t>sampel</w:t>
      </w:r>
      <w:proofErr w:type="spellEnd"/>
      <w:r w:rsidR="00AD1DD7" w:rsidRPr="00AD1DD7">
        <w:rPr>
          <w:rFonts w:ascii="Times New Roman" w:hAnsi="Times New Roman" w:cs="Times New Roman"/>
          <w:sz w:val="24"/>
          <w:szCs w:val="24"/>
        </w:rPr>
        <w:t xml:space="preserve"> and the required level of purity. The most common method used for bacteria is with the enzyme lysozyme. Thais </w:t>
      </w:r>
      <w:proofErr w:type="spellStart"/>
      <w:r w:rsidR="00AD1DD7" w:rsidRPr="00AD1DD7">
        <w:rPr>
          <w:rFonts w:ascii="Times New Roman" w:hAnsi="Times New Roman" w:cs="Times New Roman"/>
          <w:sz w:val="24"/>
          <w:szCs w:val="24"/>
        </w:rPr>
        <w:t>enzym</w:t>
      </w:r>
      <w:proofErr w:type="spellEnd"/>
      <w:r w:rsidR="00AD1DD7" w:rsidRPr="00AD1DD7">
        <w:rPr>
          <w:rFonts w:ascii="Times New Roman" w:hAnsi="Times New Roman" w:cs="Times New Roman"/>
          <w:sz w:val="24"/>
          <w:szCs w:val="24"/>
        </w:rPr>
        <w:t xml:space="preserve"> acts to cut peptidoglycan, and sodium </w:t>
      </w:r>
      <w:proofErr w:type="spellStart"/>
      <w:r w:rsidR="00AD1DD7" w:rsidRPr="00AD1DD7">
        <w:rPr>
          <w:rFonts w:ascii="Times New Roman" w:hAnsi="Times New Roman" w:cs="Times New Roman"/>
          <w:sz w:val="24"/>
          <w:szCs w:val="24"/>
        </w:rPr>
        <w:t>deodycal</w:t>
      </w:r>
      <w:proofErr w:type="spellEnd"/>
      <w:r w:rsidR="00AD1DD7" w:rsidRPr="00AD1DD7">
        <w:rPr>
          <w:rFonts w:ascii="Times New Roman" w:hAnsi="Times New Roman" w:cs="Times New Roman"/>
          <w:sz w:val="24"/>
          <w:szCs w:val="24"/>
        </w:rPr>
        <w:t xml:space="preserve"> sulfate (SDS) is added to destroy the fatty layer found in the cell membrane.</w:t>
      </w:r>
      <w:r w:rsidR="00265BEF" w:rsidRPr="00AD1DD7">
        <w:rPr>
          <w:rFonts w:ascii="Times New Roman" w:hAnsi="Times New Roman" w:cs="Times New Roman"/>
          <w:sz w:val="24"/>
          <w:szCs w:val="24"/>
        </w:rPr>
        <w:t xml:space="preserve"> </w:t>
      </w:r>
      <w:r w:rsidR="00C85FE6">
        <w:rPr>
          <w:rFonts w:ascii="Times New Roman" w:hAnsi="Times New Roman" w:cs="Times New Roman"/>
          <w:sz w:val="24"/>
          <w:szCs w:val="24"/>
        </w:rPr>
        <w:t xml:space="preserve">Next, the DNA that has been extracted will be used as a template to apply segments of approximately 500 or 1,500 bp from the 16S rRNA gene sequencing using PCR. The amplification of the gene will be separated using gel electrophoresis. The sequencing process was carried out at PT. </w:t>
      </w:r>
      <w:proofErr w:type="spellStart"/>
      <w:r w:rsidR="00C85FE6">
        <w:rPr>
          <w:rFonts w:ascii="Times New Roman" w:hAnsi="Times New Roman" w:cs="Times New Roman"/>
          <w:sz w:val="24"/>
          <w:szCs w:val="24"/>
        </w:rPr>
        <w:t>Genetika</w:t>
      </w:r>
      <w:proofErr w:type="spellEnd"/>
      <w:r w:rsidR="00C85FE6">
        <w:rPr>
          <w:rFonts w:ascii="Times New Roman" w:hAnsi="Times New Roman" w:cs="Times New Roman"/>
          <w:sz w:val="24"/>
          <w:szCs w:val="24"/>
        </w:rPr>
        <w:t xml:space="preserve"> Science Indonesia using the Illumina </w:t>
      </w:r>
      <w:proofErr w:type="spellStart"/>
      <w:r w:rsidR="00C85FE6">
        <w:rPr>
          <w:rFonts w:ascii="Times New Roman" w:hAnsi="Times New Roman" w:cs="Times New Roman"/>
          <w:sz w:val="24"/>
          <w:szCs w:val="24"/>
        </w:rPr>
        <w:t>MiSeq</w:t>
      </w:r>
      <w:proofErr w:type="spellEnd"/>
      <w:r w:rsidR="00C85FE6">
        <w:rPr>
          <w:rFonts w:ascii="Times New Roman" w:hAnsi="Times New Roman" w:cs="Times New Roman"/>
          <w:sz w:val="24"/>
          <w:szCs w:val="24"/>
        </w:rPr>
        <w:t xml:space="preserve"> platform with the </w:t>
      </w:r>
      <w:r w:rsidR="00C85FE6">
        <w:rPr>
          <w:rFonts w:ascii="Times New Roman" w:hAnsi="Times New Roman" w:cs="Times New Roman"/>
          <w:sz w:val="24"/>
          <w:szCs w:val="24"/>
        </w:rPr>
        <w:lastRenderedPageBreak/>
        <w:t xml:space="preserve">V3-V4 </w:t>
      </w:r>
      <w:proofErr w:type="spellStart"/>
      <w:r w:rsidR="00C85FE6">
        <w:rPr>
          <w:rFonts w:ascii="Times New Roman" w:hAnsi="Times New Roman" w:cs="Times New Roman"/>
          <w:sz w:val="24"/>
          <w:szCs w:val="24"/>
        </w:rPr>
        <w:t>regian</w:t>
      </w:r>
      <w:proofErr w:type="spellEnd"/>
      <w:r w:rsidR="00C85FE6">
        <w:rPr>
          <w:rFonts w:ascii="Times New Roman" w:hAnsi="Times New Roman" w:cs="Times New Roman"/>
          <w:sz w:val="24"/>
          <w:szCs w:val="24"/>
        </w:rPr>
        <w:t xml:space="preserve"> and the 16S gene target. The data was then analyzed to determine diversity, community differences, and relative abundance. The sequencing results were compared with the database using the </w:t>
      </w:r>
      <w:r w:rsidR="00265BEF" w:rsidRPr="00AD1DD7">
        <w:rPr>
          <w:rFonts w:ascii="Times New Roman" w:hAnsi="Times New Roman" w:cs="Times New Roman"/>
          <w:sz w:val="24"/>
          <w:szCs w:val="24"/>
        </w:rPr>
        <w:t>Basic Local Alignment Search Tool (BLAST)</w:t>
      </w:r>
      <w:r w:rsidRPr="00AD1DD7">
        <w:rPr>
          <w:rFonts w:ascii="Times New Roman" w:hAnsi="Times New Roman" w:cs="Times New Roman"/>
          <w:sz w:val="24"/>
          <w:szCs w:val="24"/>
        </w:rPr>
        <w:t xml:space="preserve"> techniq</w:t>
      </w:r>
      <w:r w:rsidRPr="00C85FE6">
        <w:rPr>
          <w:rFonts w:ascii="Times New Roman" w:hAnsi="Times New Roman" w:cs="Times New Roman"/>
          <w:sz w:val="24"/>
          <w:szCs w:val="24"/>
        </w:rPr>
        <w:t>ue.</w:t>
      </w:r>
    </w:p>
    <w:p w14:paraId="6BEF73B0" w14:textId="77777777" w:rsidR="002035E9" w:rsidRPr="00432A2A" w:rsidRDefault="002035E9" w:rsidP="00265BEF">
      <w:pPr>
        <w:pStyle w:val="ListParagraph"/>
        <w:spacing w:after="0" w:line="240" w:lineRule="auto"/>
        <w:ind w:left="0" w:firstLine="426"/>
        <w:jc w:val="both"/>
        <w:rPr>
          <w:rFonts w:ascii="Times New Roman" w:hAnsi="Times New Roman" w:cs="Times New Roman"/>
          <w:sz w:val="24"/>
          <w:szCs w:val="24"/>
          <w:highlight w:val="yellow"/>
        </w:rPr>
      </w:pPr>
    </w:p>
    <w:p w14:paraId="376D7568" w14:textId="77777777" w:rsidR="00265BEF" w:rsidRPr="00521BE1" w:rsidRDefault="00265BEF" w:rsidP="00265BEF">
      <w:pPr>
        <w:pStyle w:val="ListParagraph"/>
        <w:numPr>
          <w:ilvl w:val="0"/>
          <w:numId w:val="1"/>
        </w:numPr>
        <w:spacing w:line="360" w:lineRule="auto"/>
        <w:ind w:left="426" w:hanging="426"/>
        <w:rPr>
          <w:rFonts w:ascii="Times New Roman" w:hAnsi="Times New Roman" w:cs="Times New Roman"/>
          <w:b/>
          <w:bCs/>
          <w:sz w:val="24"/>
          <w:szCs w:val="24"/>
        </w:rPr>
      </w:pPr>
      <w:r w:rsidRPr="00521BE1">
        <w:rPr>
          <w:rFonts w:ascii="Times New Roman" w:hAnsi="Times New Roman" w:cs="Times New Roman"/>
          <w:b/>
          <w:bCs/>
          <w:sz w:val="24"/>
          <w:szCs w:val="24"/>
        </w:rPr>
        <w:t>RESULT</w:t>
      </w:r>
    </w:p>
    <w:p w14:paraId="7D3DE680" w14:textId="77777777" w:rsidR="00265BEF" w:rsidRPr="00521BE1"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521BE1">
        <w:rPr>
          <w:rFonts w:ascii="Times New Roman" w:hAnsi="Times New Roman" w:cs="Times New Roman"/>
          <w:b/>
          <w:bCs/>
          <w:sz w:val="24"/>
          <w:szCs w:val="24"/>
        </w:rPr>
        <w:t>Sequencing Quality Control</w:t>
      </w:r>
    </w:p>
    <w:p w14:paraId="4AC0C6E4" w14:textId="77777777" w:rsidR="00265BEF" w:rsidRPr="00521BE1" w:rsidRDefault="00265BEF" w:rsidP="00265BEF">
      <w:pPr>
        <w:pStyle w:val="ListParagraph"/>
        <w:spacing w:after="0" w:line="360" w:lineRule="auto"/>
        <w:ind w:left="426"/>
        <w:rPr>
          <w:rFonts w:ascii="Times New Roman" w:hAnsi="Times New Roman" w:cs="Times New Roman"/>
          <w:sz w:val="24"/>
          <w:szCs w:val="24"/>
        </w:rPr>
      </w:pPr>
      <w:r w:rsidRPr="00521BE1">
        <w:rPr>
          <w:rFonts w:ascii="Times New Roman" w:hAnsi="Times New Roman" w:cs="Times New Roman"/>
          <w:sz w:val="24"/>
          <w:szCs w:val="24"/>
        </w:rPr>
        <w:t xml:space="preserve">Table 4. Sequencing Quality Control </w:t>
      </w:r>
      <w:proofErr w:type="spellStart"/>
      <w:r w:rsidRPr="00521BE1">
        <w:rPr>
          <w:rFonts w:ascii="Times New Roman" w:hAnsi="Times New Roman" w:cs="Times New Roman"/>
          <w:sz w:val="24"/>
          <w:szCs w:val="24"/>
        </w:rPr>
        <w:t>menggunakan</w:t>
      </w:r>
      <w:proofErr w:type="spellEnd"/>
      <w:r w:rsidRPr="00521BE1">
        <w:rPr>
          <w:rFonts w:ascii="Times New Roman" w:hAnsi="Times New Roman" w:cs="Times New Roman"/>
          <w:sz w:val="24"/>
          <w:szCs w:val="24"/>
        </w:rPr>
        <w:t xml:space="preserve"> DADA2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290"/>
        <w:gridCol w:w="1271"/>
        <w:gridCol w:w="1304"/>
        <w:gridCol w:w="1308"/>
        <w:gridCol w:w="1267"/>
        <w:gridCol w:w="1284"/>
      </w:tblGrid>
      <w:tr w:rsidR="00265BEF" w:rsidRPr="00521BE1" w14:paraId="3377130E" w14:textId="77777777" w:rsidTr="00D92788">
        <w:tc>
          <w:tcPr>
            <w:tcW w:w="1320" w:type="dxa"/>
            <w:tcBorders>
              <w:top w:val="single" w:sz="4" w:space="0" w:color="auto"/>
              <w:bottom w:val="single" w:sz="4" w:space="0" w:color="auto"/>
            </w:tcBorders>
          </w:tcPr>
          <w:p w14:paraId="609B058C" w14:textId="77777777" w:rsidR="00265BEF" w:rsidRPr="00521BE1" w:rsidRDefault="00265BEF" w:rsidP="00D92788">
            <w:pPr>
              <w:spacing w:line="360" w:lineRule="auto"/>
              <w:jc w:val="center"/>
              <w:rPr>
                <w:rFonts w:ascii="Times New Roman" w:hAnsi="Times New Roman" w:cs="Times New Roman"/>
                <w:sz w:val="24"/>
                <w:szCs w:val="24"/>
              </w:rPr>
            </w:pPr>
            <w:proofErr w:type="spellStart"/>
            <w:r w:rsidRPr="00521BE1">
              <w:rPr>
                <w:rFonts w:ascii="Times New Roman" w:hAnsi="Times New Roman" w:cs="Times New Roman"/>
                <w:sz w:val="24"/>
                <w:szCs w:val="24"/>
              </w:rPr>
              <w:t>SampleID</w:t>
            </w:r>
            <w:proofErr w:type="spellEnd"/>
          </w:p>
        </w:tc>
        <w:tc>
          <w:tcPr>
            <w:tcW w:w="1320" w:type="dxa"/>
            <w:tcBorders>
              <w:top w:val="single" w:sz="4" w:space="0" w:color="auto"/>
              <w:bottom w:val="single" w:sz="4" w:space="0" w:color="auto"/>
            </w:tcBorders>
          </w:tcPr>
          <w:p w14:paraId="3630BB34"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Trimmed</w:t>
            </w:r>
          </w:p>
        </w:tc>
        <w:tc>
          <w:tcPr>
            <w:tcW w:w="1320" w:type="dxa"/>
            <w:tcBorders>
              <w:top w:val="single" w:sz="4" w:space="0" w:color="auto"/>
              <w:bottom w:val="single" w:sz="4" w:space="0" w:color="auto"/>
            </w:tcBorders>
          </w:tcPr>
          <w:p w14:paraId="068A9096"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Filtered</w:t>
            </w:r>
          </w:p>
        </w:tc>
        <w:tc>
          <w:tcPr>
            <w:tcW w:w="1320" w:type="dxa"/>
            <w:tcBorders>
              <w:top w:val="single" w:sz="4" w:space="0" w:color="auto"/>
              <w:bottom w:val="single" w:sz="4" w:space="0" w:color="auto"/>
            </w:tcBorders>
          </w:tcPr>
          <w:p w14:paraId="0CD9840A" w14:textId="77777777" w:rsidR="00265BEF" w:rsidRPr="00521BE1" w:rsidRDefault="00265BEF" w:rsidP="00D92788">
            <w:pPr>
              <w:spacing w:line="360" w:lineRule="auto"/>
              <w:jc w:val="center"/>
              <w:rPr>
                <w:rFonts w:ascii="Times New Roman" w:hAnsi="Times New Roman" w:cs="Times New Roman"/>
                <w:sz w:val="24"/>
                <w:szCs w:val="24"/>
              </w:rPr>
            </w:pPr>
            <w:proofErr w:type="spellStart"/>
            <w:r w:rsidRPr="00521BE1">
              <w:rPr>
                <w:rFonts w:ascii="Times New Roman" w:hAnsi="Times New Roman" w:cs="Times New Roman"/>
                <w:sz w:val="24"/>
                <w:szCs w:val="24"/>
              </w:rPr>
              <w:t>denoisedF</w:t>
            </w:r>
            <w:proofErr w:type="spellEnd"/>
          </w:p>
        </w:tc>
        <w:tc>
          <w:tcPr>
            <w:tcW w:w="1320" w:type="dxa"/>
            <w:tcBorders>
              <w:top w:val="single" w:sz="4" w:space="0" w:color="auto"/>
              <w:bottom w:val="single" w:sz="4" w:space="0" w:color="auto"/>
            </w:tcBorders>
          </w:tcPr>
          <w:p w14:paraId="0FAB3A4B" w14:textId="77777777" w:rsidR="00265BEF" w:rsidRPr="00521BE1" w:rsidRDefault="00265BEF" w:rsidP="00D92788">
            <w:pPr>
              <w:spacing w:line="360" w:lineRule="auto"/>
              <w:jc w:val="center"/>
              <w:rPr>
                <w:rFonts w:ascii="Times New Roman" w:hAnsi="Times New Roman" w:cs="Times New Roman"/>
                <w:sz w:val="24"/>
                <w:szCs w:val="24"/>
              </w:rPr>
            </w:pPr>
            <w:proofErr w:type="spellStart"/>
            <w:r w:rsidRPr="00521BE1">
              <w:rPr>
                <w:rFonts w:ascii="Times New Roman" w:hAnsi="Times New Roman" w:cs="Times New Roman"/>
                <w:sz w:val="24"/>
                <w:szCs w:val="24"/>
              </w:rPr>
              <w:t>denoisedR</w:t>
            </w:r>
            <w:proofErr w:type="spellEnd"/>
          </w:p>
        </w:tc>
        <w:tc>
          <w:tcPr>
            <w:tcW w:w="1321" w:type="dxa"/>
            <w:tcBorders>
              <w:top w:val="single" w:sz="4" w:space="0" w:color="auto"/>
              <w:bottom w:val="single" w:sz="4" w:space="0" w:color="auto"/>
            </w:tcBorders>
          </w:tcPr>
          <w:p w14:paraId="36E80DBD"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merged</w:t>
            </w:r>
          </w:p>
        </w:tc>
        <w:tc>
          <w:tcPr>
            <w:tcW w:w="1321" w:type="dxa"/>
            <w:tcBorders>
              <w:top w:val="single" w:sz="4" w:space="0" w:color="auto"/>
              <w:bottom w:val="single" w:sz="4" w:space="0" w:color="auto"/>
            </w:tcBorders>
          </w:tcPr>
          <w:p w14:paraId="7F63D1DD" w14:textId="77777777" w:rsidR="00265BEF" w:rsidRPr="00521BE1" w:rsidRDefault="00265BEF" w:rsidP="00D92788">
            <w:pPr>
              <w:spacing w:line="360" w:lineRule="auto"/>
              <w:jc w:val="center"/>
              <w:rPr>
                <w:rFonts w:ascii="Times New Roman" w:hAnsi="Times New Roman" w:cs="Times New Roman"/>
                <w:sz w:val="24"/>
                <w:szCs w:val="24"/>
              </w:rPr>
            </w:pPr>
            <w:proofErr w:type="spellStart"/>
            <w:r w:rsidRPr="00521BE1">
              <w:rPr>
                <w:rFonts w:ascii="Times New Roman" w:hAnsi="Times New Roman" w:cs="Times New Roman"/>
                <w:sz w:val="24"/>
                <w:szCs w:val="24"/>
              </w:rPr>
              <w:t>nonchim</w:t>
            </w:r>
            <w:proofErr w:type="spellEnd"/>
          </w:p>
        </w:tc>
      </w:tr>
      <w:tr w:rsidR="00265BEF" w:rsidRPr="00521BE1" w14:paraId="131B45D7" w14:textId="77777777" w:rsidTr="00D92788">
        <w:tc>
          <w:tcPr>
            <w:tcW w:w="1320" w:type="dxa"/>
            <w:tcBorders>
              <w:top w:val="single" w:sz="4" w:space="0" w:color="auto"/>
            </w:tcBorders>
          </w:tcPr>
          <w:p w14:paraId="7A22DF04"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T0</w:t>
            </w:r>
          </w:p>
        </w:tc>
        <w:tc>
          <w:tcPr>
            <w:tcW w:w="1320" w:type="dxa"/>
            <w:tcBorders>
              <w:top w:val="single" w:sz="4" w:space="0" w:color="auto"/>
            </w:tcBorders>
          </w:tcPr>
          <w:p w14:paraId="26D2A1FA"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99811</w:t>
            </w:r>
          </w:p>
        </w:tc>
        <w:tc>
          <w:tcPr>
            <w:tcW w:w="1320" w:type="dxa"/>
            <w:tcBorders>
              <w:top w:val="single" w:sz="4" w:space="0" w:color="auto"/>
            </w:tcBorders>
          </w:tcPr>
          <w:p w14:paraId="799CC1AB"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80733</w:t>
            </w:r>
          </w:p>
        </w:tc>
        <w:tc>
          <w:tcPr>
            <w:tcW w:w="1320" w:type="dxa"/>
            <w:tcBorders>
              <w:top w:val="single" w:sz="4" w:space="0" w:color="auto"/>
            </w:tcBorders>
          </w:tcPr>
          <w:p w14:paraId="0DBEB2C3"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77974</w:t>
            </w:r>
          </w:p>
        </w:tc>
        <w:tc>
          <w:tcPr>
            <w:tcW w:w="1320" w:type="dxa"/>
            <w:tcBorders>
              <w:top w:val="single" w:sz="4" w:space="0" w:color="auto"/>
            </w:tcBorders>
          </w:tcPr>
          <w:p w14:paraId="67DC9D35"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78149</w:t>
            </w:r>
          </w:p>
        </w:tc>
        <w:tc>
          <w:tcPr>
            <w:tcW w:w="1321" w:type="dxa"/>
            <w:tcBorders>
              <w:top w:val="single" w:sz="4" w:space="0" w:color="auto"/>
            </w:tcBorders>
          </w:tcPr>
          <w:p w14:paraId="1587E734"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61379</w:t>
            </w:r>
          </w:p>
        </w:tc>
        <w:tc>
          <w:tcPr>
            <w:tcW w:w="1321" w:type="dxa"/>
            <w:tcBorders>
              <w:top w:val="single" w:sz="4" w:space="0" w:color="auto"/>
            </w:tcBorders>
          </w:tcPr>
          <w:p w14:paraId="19BD6D6A"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57838</w:t>
            </w:r>
          </w:p>
        </w:tc>
      </w:tr>
      <w:tr w:rsidR="00265BEF" w:rsidRPr="00521BE1" w14:paraId="4211B952" w14:textId="77777777" w:rsidTr="00D92788">
        <w:tc>
          <w:tcPr>
            <w:tcW w:w="1320" w:type="dxa"/>
          </w:tcPr>
          <w:p w14:paraId="185303C7"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T1</w:t>
            </w:r>
          </w:p>
        </w:tc>
        <w:tc>
          <w:tcPr>
            <w:tcW w:w="1320" w:type="dxa"/>
          </w:tcPr>
          <w:p w14:paraId="43C4A563"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99813</w:t>
            </w:r>
          </w:p>
        </w:tc>
        <w:tc>
          <w:tcPr>
            <w:tcW w:w="1320" w:type="dxa"/>
          </w:tcPr>
          <w:p w14:paraId="6A09945D"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80742</w:t>
            </w:r>
          </w:p>
        </w:tc>
        <w:tc>
          <w:tcPr>
            <w:tcW w:w="1320" w:type="dxa"/>
          </w:tcPr>
          <w:p w14:paraId="0C8DA5FB"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78321</w:t>
            </w:r>
          </w:p>
        </w:tc>
        <w:tc>
          <w:tcPr>
            <w:tcW w:w="1320" w:type="dxa"/>
          </w:tcPr>
          <w:p w14:paraId="31253AC4"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78159</w:t>
            </w:r>
          </w:p>
        </w:tc>
        <w:tc>
          <w:tcPr>
            <w:tcW w:w="1321" w:type="dxa"/>
          </w:tcPr>
          <w:p w14:paraId="7C4C4DF6"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62312</w:t>
            </w:r>
          </w:p>
        </w:tc>
        <w:tc>
          <w:tcPr>
            <w:tcW w:w="1321" w:type="dxa"/>
          </w:tcPr>
          <w:p w14:paraId="1657D1A1"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59056</w:t>
            </w:r>
          </w:p>
        </w:tc>
      </w:tr>
      <w:tr w:rsidR="00265BEF" w:rsidRPr="00521BE1" w14:paraId="3FE0F863" w14:textId="77777777" w:rsidTr="00D92788">
        <w:tc>
          <w:tcPr>
            <w:tcW w:w="1320" w:type="dxa"/>
            <w:tcBorders>
              <w:bottom w:val="single" w:sz="4" w:space="0" w:color="auto"/>
            </w:tcBorders>
          </w:tcPr>
          <w:p w14:paraId="3CFF6298"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T2</w:t>
            </w:r>
          </w:p>
        </w:tc>
        <w:tc>
          <w:tcPr>
            <w:tcW w:w="1320" w:type="dxa"/>
            <w:tcBorders>
              <w:bottom w:val="single" w:sz="4" w:space="0" w:color="auto"/>
            </w:tcBorders>
          </w:tcPr>
          <w:p w14:paraId="2C7638F6"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99847</w:t>
            </w:r>
          </w:p>
        </w:tc>
        <w:tc>
          <w:tcPr>
            <w:tcW w:w="1320" w:type="dxa"/>
            <w:tcBorders>
              <w:bottom w:val="single" w:sz="4" w:space="0" w:color="auto"/>
            </w:tcBorders>
          </w:tcPr>
          <w:p w14:paraId="4E7403BE"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80831</w:t>
            </w:r>
          </w:p>
        </w:tc>
        <w:tc>
          <w:tcPr>
            <w:tcW w:w="1320" w:type="dxa"/>
            <w:tcBorders>
              <w:bottom w:val="single" w:sz="4" w:space="0" w:color="auto"/>
            </w:tcBorders>
          </w:tcPr>
          <w:p w14:paraId="53C069B6"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78215</w:t>
            </w:r>
          </w:p>
        </w:tc>
        <w:tc>
          <w:tcPr>
            <w:tcW w:w="1320" w:type="dxa"/>
            <w:tcBorders>
              <w:bottom w:val="single" w:sz="4" w:space="0" w:color="auto"/>
            </w:tcBorders>
          </w:tcPr>
          <w:p w14:paraId="17A45538"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78328</w:t>
            </w:r>
          </w:p>
        </w:tc>
        <w:tc>
          <w:tcPr>
            <w:tcW w:w="1321" w:type="dxa"/>
            <w:tcBorders>
              <w:bottom w:val="single" w:sz="4" w:space="0" w:color="auto"/>
            </w:tcBorders>
          </w:tcPr>
          <w:p w14:paraId="1666009D"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63700</w:t>
            </w:r>
          </w:p>
        </w:tc>
        <w:tc>
          <w:tcPr>
            <w:tcW w:w="1321" w:type="dxa"/>
            <w:tcBorders>
              <w:bottom w:val="single" w:sz="4" w:space="0" w:color="auto"/>
            </w:tcBorders>
          </w:tcPr>
          <w:p w14:paraId="62325482" w14:textId="77777777" w:rsidR="00265BEF" w:rsidRPr="00521BE1" w:rsidRDefault="00265BEF" w:rsidP="00D92788">
            <w:pPr>
              <w:spacing w:line="360" w:lineRule="auto"/>
              <w:jc w:val="center"/>
              <w:rPr>
                <w:rFonts w:ascii="Times New Roman" w:hAnsi="Times New Roman" w:cs="Times New Roman"/>
                <w:sz w:val="24"/>
                <w:szCs w:val="24"/>
              </w:rPr>
            </w:pPr>
            <w:r w:rsidRPr="00521BE1">
              <w:rPr>
                <w:rFonts w:ascii="Times New Roman" w:hAnsi="Times New Roman" w:cs="Times New Roman"/>
                <w:sz w:val="24"/>
                <w:szCs w:val="24"/>
              </w:rPr>
              <w:t>60451</w:t>
            </w:r>
          </w:p>
        </w:tc>
      </w:tr>
    </w:tbl>
    <w:p w14:paraId="34A5BCCA" w14:textId="77777777" w:rsidR="00265BEF" w:rsidRPr="00432A2A" w:rsidRDefault="00265BEF" w:rsidP="00521BE1">
      <w:pPr>
        <w:spacing w:after="0" w:line="360" w:lineRule="auto"/>
        <w:rPr>
          <w:rFonts w:ascii="Times New Roman" w:hAnsi="Times New Roman" w:cs="Times New Roman"/>
          <w:b/>
          <w:bCs/>
          <w:sz w:val="24"/>
          <w:szCs w:val="24"/>
          <w:highlight w:val="yellow"/>
        </w:rPr>
      </w:pPr>
    </w:p>
    <w:p w14:paraId="537B04D1" w14:textId="7089BBA9" w:rsidR="00265BEF" w:rsidRPr="00DB5D87" w:rsidRDefault="0000379F" w:rsidP="00DB5D87">
      <w:pPr>
        <w:pStyle w:val="ListParagraph"/>
        <w:spacing w:line="360" w:lineRule="auto"/>
        <w:ind w:left="0" w:firstLine="426"/>
        <w:jc w:val="both"/>
        <w:rPr>
          <w:rFonts w:ascii="Times New Roman" w:hAnsi="Times New Roman" w:cs="Times New Roman"/>
          <w:sz w:val="24"/>
          <w:szCs w:val="24"/>
          <w:highlight w:val="yellow"/>
        </w:rPr>
      </w:pPr>
      <w:r w:rsidRPr="005266EC">
        <w:rPr>
          <w:rFonts w:ascii="Times New Roman" w:hAnsi="Times New Roman" w:cs="Times New Roman"/>
          <w:sz w:val="24"/>
          <w:szCs w:val="24"/>
        </w:rPr>
        <w:t xml:space="preserve">In the sequencing quality control process using </w:t>
      </w:r>
      <w:r w:rsidR="00265BEF" w:rsidRPr="005266EC">
        <w:rPr>
          <w:rFonts w:ascii="Times New Roman" w:hAnsi="Times New Roman" w:cs="Times New Roman"/>
          <w:sz w:val="24"/>
          <w:szCs w:val="24"/>
        </w:rPr>
        <w:t xml:space="preserve">16S rRNA Amplicon sequencing </w:t>
      </w:r>
      <w:r w:rsidRPr="005266EC">
        <w:rPr>
          <w:rFonts w:ascii="Times New Roman" w:hAnsi="Times New Roman" w:cs="Times New Roman"/>
          <w:sz w:val="24"/>
          <w:szCs w:val="24"/>
        </w:rPr>
        <w:t xml:space="preserve">resulted in high-quality data with the number of reads at </w:t>
      </w:r>
      <w:r w:rsidR="00265BEF" w:rsidRPr="005266EC">
        <w:rPr>
          <w:rFonts w:ascii="Times New Roman" w:hAnsi="Times New Roman" w:cs="Times New Roman"/>
          <w:sz w:val="24"/>
          <w:szCs w:val="24"/>
        </w:rPr>
        <w:t xml:space="preserve">T0, T1, </w:t>
      </w:r>
      <w:r w:rsidRPr="005266EC">
        <w:rPr>
          <w:rFonts w:ascii="Times New Roman" w:hAnsi="Times New Roman" w:cs="Times New Roman"/>
          <w:sz w:val="24"/>
          <w:szCs w:val="24"/>
        </w:rPr>
        <w:t>and T2</w:t>
      </w:r>
      <w:r w:rsidR="00265BEF" w:rsidRPr="005266EC">
        <w:rPr>
          <w:rFonts w:ascii="Times New Roman" w:hAnsi="Times New Roman" w:cs="Times New Roman"/>
          <w:sz w:val="24"/>
          <w:szCs w:val="24"/>
        </w:rPr>
        <w:t xml:space="preserve">. </w:t>
      </w:r>
      <w:r w:rsidRPr="005266EC">
        <w:rPr>
          <w:rFonts w:ascii="Times New Roman" w:hAnsi="Times New Roman" w:cs="Times New Roman"/>
          <w:sz w:val="24"/>
          <w:szCs w:val="24"/>
        </w:rPr>
        <w:t xml:space="preserve">Based on Table 4. it </w:t>
      </w:r>
      <w:r w:rsidR="00D17E58" w:rsidRPr="005266EC">
        <w:rPr>
          <w:rFonts w:ascii="Times New Roman" w:hAnsi="Times New Roman" w:cs="Times New Roman"/>
          <w:sz w:val="24"/>
          <w:szCs w:val="24"/>
        </w:rPr>
        <w:t xml:space="preserve">shows that after the trimming stage, the average number of reads </w:t>
      </w:r>
      <w:r w:rsidR="005266EC" w:rsidRPr="005266EC">
        <w:rPr>
          <w:rFonts w:ascii="Times New Roman" w:hAnsi="Times New Roman" w:cs="Times New Roman"/>
          <w:sz w:val="24"/>
          <w:szCs w:val="24"/>
        </w:rPr>
        <w:t xml:space="preserve">for each sample reached more than </w:t>
      </w:r>
      <w:r w:rsidR="00265BEF" w:rsidRPr="005266EC">
        <w:rPr>
          <w:rFonts w:ascii="Times New Roman" w:hAnsi="Times New Roman" w:cs="Times New Roman"/>
          <w:sz w:val="24"/>
          <w:szCs w:val="24"/>
        </w:rPr>
        <w:t xml:space="preserve">99.000 reads. </w:t>
      </w:r>
      <w:r w:rsidR="005266EC">
        <w:rPr>
          <w:rFonts w:ascii="Times New Roman" w:hAnsi="Times New Roman" w:cs="Times New Roman"/>
          <w:sz w:val="24"/>
          <w:szCs w:val="24"/>
        </w:rPr>
        <w:t xml:space="preserve">This indicates that 80-81% of reads passed the quality filtering process. However, during the denoising stage using DADA2, the reads per sample were around </w:t>
      </w:r>
      <w:r w:rsidR="00265BEF" w:rsidRPr="005266EC">
        <w:rPr>
          <w:rFonts w:ascii="Times New Roman" w:hAnsi="Times New Roman" w:cs="Times New Roman"/>
          <w:sz w:val="24"/>
          <w:szCs w:val="24"/>
        </w:rPr>
        <w:t xml:space="preserve">78.000 reads, </w:t>
      </w:r>
      <w:r w:rsidR="005266EC" w:rsidRPr="005266EC">
        <w:rPr>
          <w:rFonts w:ascii="Times New Roman" w:hAnsi="Times New Roman" w:cs="Times New Roman"/>
          <w:sz w:val="24"/>
          <w:szCs w:val="24"/>
        </w:rPr>
        <w:t>and became</w:t>
      </w:r>
      <w:r w:rsidR="00265BEF" w:rsidRPr="005266EC">
        <w:rPr>
          <w:rFonts w:ascii="Times New Roman" w:hAnsi="Times New Roman" w:cs="Times New Roman"/>
          <w:sz w:val="24"/>
          <w:szCs w:val="24"/>
        </w:rPr>
        <w:t xml:space="preserve"> 61.379 – 63.700 reads </w:t>
      </w:r>
      <w:r w:rsidR="005266EC" w:rsidRPr="005266EC">
        <w:rPr>
          <w:rFonts w:ascii="Times New Roman" w:hAnsi="Times New Roman" w:cs="Times New Roman"/>
          <w:sz w:val="24"/>
          <w:szCs w:val="24"/>
        </w:rPr>
        <w:t xml:space="preserve">after the merging stage. Meanwhile, the number of non-chimerical reads ranged from </w:t>
      </w:r>
      <w:r w:rsidR="00265BEF" w:rsidRPr="005266EC">
        <w:rPr>
          <w:rFonts w:ascii="Times New Roman" w:hAnsi="Times New Roman" w:cs="Times New Roman"/>
          <w:sz w:val="24"/>
          <w:szCs w:val="24"/>
        </w:rPr>
        <w:t>57.838 – 60.451 reads</w:t>
      </w:r>
      <w:r w:rsidR="005266EC" w:rsidRPr="005266EC">
        <w:rPr>
          <w:rFonts w:ascii="Times New Roman" w:hAnsi="Times New Roman" w:cs="Times New Roman"/>
          <w:sz w:val="24"/>
          <w:szCs w:val="24"/>
        </w:rPr>
        <w:t xml:space="preserve">, which means that the chimera rate produced by DADA2 was very low. This shows that the DADA2 pipeline is capable of maintaining a large number of high-quality reads that are suitable for further use in bacterial diversity analysis. </w:t>
      </w:r>
    </w:p>
    <w:p w14:paraId="3174A4A3" w14:textId="77777777" w:rsidR="00265BEF" w:rsidRPr="00432A2A" w:rsidRDefault="00265BEF" w:rsidP="00265BEF">
      <w:pPr>
        <w:pStyle w:val="ListParagraph"/>
        <w:spacing w:line="240" w:lineRule="auto"/>
        <w:ind w:left="0"/>
        <w:jc w:val="both"/>
        <w:rPr>
          <w:rFonts w:ascii="Times New Roman" w:hAnsi="Times New Roman" w:cs="Times New Roman"/>
          <w:sz w:val="24"/>
          <w:szCs w:val="24"/>
          <w:highlight w:val="yellow"/>
        </w:rPr>
      </w:pPr>
    </w:p>
    <w:p w14:paraId="62DCCB78" w14:textId="77777777" w:rsidR="00265BEF" w:rsidRPr="00810536"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810536">
        <w:rPr>
          <w:rFonts w:ascii="Times New Roman" w:hAnsi="Times New Roman" w:cs="Times New Roman"/>
          <w:b/>
          <w:bCs/>
          <w:sz w:val="24"/>
          <w:szCs w:val="24"/>
        </w:rPr>
        <w:t xml:space="preserve"> Amplicon Sequence Variants (ASVs) and Taxonomic Composition</w:t>
      </w:r>
    </w:p>
    <w:p w14:paraId="569B58A8" w14:textId="06EC72B2" w:rsidR="00C14773" w:rsidRPr="00FE2B87" w:rsidRDefault="007D5274" w:rsidP="00FE2B87">
      <w:pPr>
        <w:pStyle w:val="ListParagraph"/>
        <w:spacing w:line="360" w:lineRule="auto"/>
        <w:ind w:left="0" w:firstLine="426"/>
        <w:jc w:val="both"/>
        <w:rPr>
          <w:rFonts w:ascii="Times New Roman" w:hAnsi="Times New Roman" w:cs="Times New Roman"/>
          <w:sz w:val="24"/>
          <w:szCs w:val="24"/>
        </w:rPr>
      </w:pPr>
      <w:r w:rsidRPr="002C2B32">
        <w:rPr>
          <w:rFonts w:ascii="Times New Roman" w:hAnsi="Times New Roman" w:cs="Times New Roman"/>
          <w:sz w:val="24"/>
          <w:szCs w:val="24"/>
        </w:rPr>
        <w:t xml:space="preserve">The </w:t>
      </w:r>
      <w:proofErr w:type="spellStart"/>
      <w:r w:rsidRPr="002C2B32">
        <w:rPr>
          <w:rFonts w:ascii="Times New Roman" w:hAnsi="Times New Roman" w:cs="Times New Roman"/>
          <w:sz w:val="24"/>
          <w:szCs w:val="24"/>
        </w:rPr>
        <w:t>moleculer</w:t>
      </w:r>
      <w:proofErr w:type="spellEnd"/>
      <w:r w:rsidRPr="002C2B32">
        <w:rPr>
          <w:rFonts w:ascii="Times New Roman" w:hAnsi="Times New Roman" w:cs="Times New Roman"/>
          <w:sz w:val="24"/>
          <w:szCs w:val="24"/>
        </w:rPr>
        <w:t xml:space="preserve"> analysis resulted in a total of 1.202 ASVs after the denoising process. These ASVs were divided in several major bacterial families, such as </w:t>
      </w:r>
      <w:proofErr w:type="spellStart"/>
      <w:r w:rsidR="00265BEF" w:rsidRPr="002C2B32">
        <w:rPr>
          <w:rFonts w:ascii="Times New Roman" w:hAnsi="Times New Roman" w:cs="Times New Roman"/>
          <w:i/>
          <w:iCs/>
          <w:sz w:val="24"/>
          <w:szCs w:val="24"/>
        </w:rPr>
        <w:t>Prevotellaceae</w:t>
      </w:r>
      <w:proofErr w:type="spellEnd"/>
      <w:r w:rsidR="00265BEF" w:rsidRPr="002C2B32">
        <w:rPr>
          <w:rFonts w:ascii="Times New Roman" w:hAnsi="Times New Roman" w:cs="Times New Roman"/>
          <w:i/>
          <w:iCs/>
          <w:sz w:val="24"/>
          <w:szCs w:val="24"/>
        </w:rPr>
        <w:t xml:space="preserve">, </w:t>
      </w:r>
      <w:proofErr w:type="spellStart"/>
      <w:r w:rsidR="00265BEF" w:rsidRPr="002C2B32">
        <w:rPr>
          <w:rFonts w:ascii="Times New Roman" w:hAnsi="Times New Roman" w:cs="Times New Roman"/>
          <w:i/>
          <w:iCs/>
          <w:sz w:val="24"/>
          <w:szCs w:val="24"/>
        </w:rPr>
        <w:t>Lachnospiraceae</w:t>
      </w:r>
      <w:proofErr w:type="spellEnd"/>
      <w:r w:rsidR="00265BEF" w:rsidRPr="002C2B32">
        <w:rPr>
          <w:rFonts w:ascii="Times New Roman" w:hAnsi="Times New Roman" w:cs="Times New Roman"/>
          <w:i/>
          <w:iCs/>
          <w:sz w:val="24"/>
          <w:szCs w:val="24"/>
        </w:rPr>
        <w:t xml:space="preserve">, </w:t>
      </w:r>
      <w:proofErr w:type="spellStart"/>
      <w:r w:rsidR="00265BEF" w:rsidRPr="002C2B32">
        <w:rPr>
          <w:rFonts w:ascii="Times New Roman" w:hAnsi="Times New Roman" w:cs="Times New Roman"/>
          <w:i/>
          <w:iCs/>
          <w:sz w:val="24"/>
          <w:szCs w:val="24"/>
        </w:rPr>
        <w:t>Rikenellaceae</w:t>
      </w:r>
      <w:proofErr w:type="spellEnd"/>
      <w:r w:rsidR="00265BEF" w:rsidRPr="002C2B32">
        <w:rPr>
          <w:rFonts w:ascii="Times New Roman" w:hAnsi="Times New Roman" w:cs="Times New Roman"/>
          <w:i/>
          <w:iCs/>
          <w:sz w:val="24"/>
          <w:szCs w:val="24"/>
        </w:rPr>
        <w:t xml:space="preserve">, </w:t>
      </w:r>
      <w:r w:rsidR="00265BEF" w:rsidRPr="002C2B32">
        <w:rPr>
          <w:rFonts w:ascii="Times New Roman" w:hAnsi="Times New Roman" w:cs="Times New Roman"/>
          <w:sz w:val="24"/>
          <w:szCs w:val="24"/>
        </w:rPr>
        <w:t xml:space="preserve">and </w:t>
      </w:r>
      <w:proofErr w:type="spellStart"/>
      <w:r w:rsidR="00265BEF" w:rsidRPr="002C2B32">
        <w:rPr>
          <w:rFonts w:ascii="Times New Roman" w:hAnsi="Times New Roman" w:cs="Times New Roman"/>
          <w:i/>
          <w:iCs/>
          <w:sz w:val="24"/>
          <w:szCs w:val="24"/>
        </w:rPr>
        <w:t>Oscillospiraceae</w:t>
      </w:r>
      <w:proofErr w:type="spellEnd"/>
      <w:r w:rsidR="00265BEF" w:rsidRPr="002C2B32">
        <w:rPr>
          <w:rFonts w:ascii="Times New Roman" w:hAnsi="Times New Roman" w:cs="Times New Roman"/>
          <w:i/>
          <w:iCs/>
          <w:sz w:val="24"/>
          <w:szCs w:val="24"/>
        </w:rPr>
        <w:t xml:space="preserve">. </w:t>
      </w:r>
      <w:r w:rsidR="00265BEF" w:rsidRPr="002C2B32">
        <w:rPr>
          <w:rFonts w:ascii="Times New Roman" w:hAnsi="Times New Roman" w:cs="Times New Roman"/>
          <w:sz w:val="24"/>
          <w:szCs w:val="24"/>
        </w:rPr>
        <w:t xml:space="preserve">ASV1 </w:t>
      </w:r>
      <w:r w:rsidRPr="002C2B32">
        <w:rPr>
          <w:rFonts w:ascii="Times New Roman" w:hAnsi="Times New Roman" w:cs="Times New Roman"/>
          <w:sz w:val="24"/>
          <w:szCs w:val="24"/>
        </w:rPr>
        <w:t>classified in the</w:t>
      </w:r>
      <w:r w:rsidR="00265BEF" w:rsidRPr="002C2B32">
        <w:rPr>
          <w:rFonts w:ascii="Times New Roman" w:hAnsi="Times New Roman" w:cs="Times New Roman"/>
          <w:sz w:val="24"/>
          <w:szCs w:val="24"/>
        </w:rPr>
        <w:t xml:space="preserve"> </w:t>
      </w:r>
      <w:proofErr w:type="spellStart"/>
      <w:r w:rsidR="00265BEF" w:rsidRPr="002C2B32">
        <w:rPr>
          <w:rFonts w:ascii="Times New Roman" w:hAnsi="Times New Roman" w:cs="Times New Roman"/>
          <w:i/>
          <w:iCs/>
          <w:sz w:val="24"/>
          <w:szCs w:val="24"/>
        </w:rPr>
        <w:t>Bacteroidota</w:t>
      </w:r>
      <w:proofErr w:type="spellEnd"/>
      <w:r w:rsidRPr="002C2B32">
        <w:rPr>
          <w:rFonts w:ascii="Times New Roman" w:hAnsi="Times New Roman" w:cs="Times New Roman"/>
          <w:i/>
          <w:iCs/>
          <w:sz w:val="24"/>
          <w:szCs w:val="24"/>
        </w:rPr>
        <w:t xml:space="preserve"> </w:t>
      </w:r>
      <w:r w:rsidRPr="002C2B32">
        <w:rPr>
          <w:rFonts w:ascii="Times New Roman" w:hAnsi="Times New Roman" w:cs="Times New Roman"/>
          <w:sz w:val="24"/>
          <w:szCs w:val="24"/>
        </w:rPr>
        <w:t>phylum</w:t>
      </w:r>
      <w:r w:rsidR="00265BEF" w:rsidRPr="002C2B32">
        <w:rPr>
          <w:rFonts w:ascii="Times New Roman" w:hAnsi="Times New Roman" w:cs="Times New Roman"/>
          <w:sz w:val="24"/>
          <w:szCs w:val="24"/>
        </w:rPr>
        <w:t xml:space="preserve">, </w:t>
      </w:r>
      <w:proofErr w:type="spellStart"/>
      <w:r w:rsidR="00265BEF" w:rsidRPr="002C2B32">
        <w:rPr>
          <w:rFonts w:ascii="Times New Roman" w:hAnsi="Times New Roman" w:cs="Times New Roman"/>
          <w:i/>
          <w:iCs/>
          <w:sz w:val="24"/>
          <w:szCs w:val="24"/>
        </w:rPr>
        <w:t>Bacteriodia</w:t>
      </w:r>
      <w:proofErr w:type="spellEnd"/>
      <w:r w:rsidRPr="002C2B32">
        <w:rPr>
          <w:rFonts w:ascii="Times New Roman" w:hAnsi="Times New Roman" w:cs="Times New Roman"/>
          <w:i/>
          <w:iCs/>
          <w:sz w:val="24"/>
          <w:szCs w:val="24"/>
        </w:rPr>
        <w:t xml:space="preserve"> </w:t>
      </w:r>
      <w:r w:rsidRPr="002C2B32">
        <w:rPr>
          <w:rFonts w:ascii="Times New Roman" w:hAnsi="Times New Roman" w:cs="Times New Roman"/>
          <w:sz w:val="24"/>
          <w:szCs w:val="24"/>
        </w:rPr>
        <w:t>class</w:t>
      </w:r>
      <w:r w:rsidR="00265BEF" w:rsidRPr="002C2B32">
        <w:rPr>
          <w:rFonts w:ascii="Times New Roman" w:hAnsi="Times New Roman" w:cs="Times New Roman"/>
          <w:i/>
          <w:iCs/>
          <w:sz w:val="24"/>
          <w:szCs w:val="24"/>
        </w:rPr>
        <w:t xml:space="preserve">, </w:t>
      </w:r>
      <w:r w:rsidRPr="002C2B32">
        <w:rPr>
          <w:rFonts w:ascii="Times New Roman" w:hAnsi="Times New Roman" w:cs="Times New Roman"/>
          <w:sz w:val="24"/>
          <w:szCs w:val="24"/>
        </w:rPr>
        <w:t xml:space="preserve">and </w:t>
      </w:r>
      <w:proofErr w:type="spellStart"/>
      <w:r w:rsidR="00265BEF" w:rsidRPr="002C2B32">
        <w:rPr>
          <w:rFonts w:ascii="Times New Roman" w:hAnsi="Times New Roman" w:cs="Times New Roman"/>
          <w:i/>
          <w:iCs/>
          <w:sz w:val="24"/>
          <w:szCs w:val="24"/>
        </w:rPr>
        <w:t>Prevotellaceae</w:t>
      </w:r>
      <w:proofErr w:type="spellEnd"/>
      <w:r w:rsidR="00265BEF" w:rsidRPr="002C2B32">
        <w:rPr>
          <w:rFonts w:ascii="Times New Roman" w:hAnsi="Times New Roman" w:cs="Times New Roman"/>
          <w:i/>
          <w:iCs/>
          <w:sz w:val="24"/>
          <w:szCs w:val="24"/>
        </w:rPr>
        <w:t xml:space="preserve"> </w:t>
      </w:r>
      <w:proofErr w:type="spellStart"/>
      <w:r w:rsidRPr="002C2B32">
        <w:rPr>
          <w:rFonts w:ascii="Times New Roman" w:hAnsi="Times New Roman" w:cs="Times New Roman"/>
          <w:i/>
          <w:iCs/>
          <w:sz w:val="24"/>
          <w:szCs w:val="24"/>
        </w:rPr>
        <w:t>famili</w:t>
      </w:r>
      <w:r w:rsidR="00292044">
        <w:rPr>
          <w:rFonts w:ascii="Times New Roman" w:hAnsi="Times New Roman" w:cs="Times New Roman"/>
          <w:i/>
          <w:iCs/>
          <w:sz w:val="24"/>
          <w:szCs w:val="24"/>
        </w:rPr>
        <w:t>y</w:t>
      </w:r>
      <w:proofErr w:type="spellEnd"/>
      <w:r w:rsidR="00292044">
        <w:rPr>
          <w:rFonts w:ascii="Times New Roman" w:hAnsi="Times New Roman" w:cs="Times New Roman"/>
          <w:i/>
          <w:iCs/>
          <w:sz w:val="24"/>
          <w:szCs w:val="24"/>
        </w:rPr>
        <w:t xml:space="preserve"> </w:t>
      </w:r>
      <w:r w:rsidRPr="002C2B32">
        <w:rPr>
          <w:rFonts w:ascii="Times New Roman" w:hAnsi="Times New Roman" w:cs="Times New Roman"/>
          <w:sz w:val="24"/>
          <w:szCs w:val="24"/>
        </w:rPr>
        <w:t xml:space="preserve">showed a </w:t>
      </w:r>
      <w:proofErr w:type="spellStart"/>
      <w:r w:rsidRPr="002C2B32">
        <w:rPr>
          <w:rFonts w:ascii="Times New Roman" w:hAnsi="Times New Roman" w:cs="Times New Roman"/>
          <w:sz w:val="24"/>
          <w:szCs w:val="24"/>
        </w:rPr>
        <w:t>decrase</w:t>
      </w:r>
      <w:proofErr w:type="spellEnd"/>
      <w:r w:rsidRPr="002C2B32">
        <w:rPr>
          <w:rFonts w:ascii="Times New Roman" w:hAnsi="Times New Roman" w:cs="Times New Roman"/>
          <w:sz w:val="24"/>
          <w:szCs w:val="24"/>
        </w:rPr>
        <w:t xml:space="preserve"> in the number of reads f</w:t>
      </w:r>
      <w:r w:rsidR="00292044">
        <w:rPr>
          <w:rFonts w:ascii="Times New Roman" w:hAnsi="Times New Roman" w:cs="Times New Roman"/>
          <w:sz w:val="24"/>
          <w:szCs w:val="24"/>
        </w:rPr>
        <w:t>rom</w:t>
      </w:r>
      <w:r w:rsidR="00265BEF" w:rsidRPr="002C2B32">
        <w:rPr>
          <w:rFonts w:ascii="Times New Roman" w:hAnsi="Times New Roman" w:cs="Times New Roman"/>
          <w:sz w:val="24"/>
          <w:szCs w:val="24"/>
        </w:rPr>
        <w:t xml:space="preserve"> T0 </w:t>
      </w:r>
      <w:r w:rsidR="00265BEF" w:rsidRPr="00BC3964">
        <w:rPr>
          <w:rFonts w:ascii="Times New Roman" w:hAnsi="Times New Roman" w:cs="Times New Roman"/>
          <w:sz w:val="24"/>
          <w:szCs w:val="24"/>
        </w:rPr>
        <w:t xml:space="preserve">3.614; T1 2.298; </w:t>
      </w:r>
      <w:r w:rsidRPr="00BC3964">
        <w:rPr>
          <w:rFonts w:ascii="Times New Roman" w:hAnsi="Times New Roman" w:cs="Times New Roman"/>
          <w:sz w:val="24"/>
          <w:szCs w:val="24"/>
        </w:rPr>
        <w:t xml:space="preserve">and </w:t>
      </w:r>
      <w:r w:rsidR="00265BEF" w:rsidRPr="00BC3964">
        <w:rPr>
          <w:rFonts w:ascii="Times New Roman" w:hAnsi="Times New Roman" w:cs="Times New Roman"/>
          <w:sz w:val="24"/>
          <w:szCs w:val="24"/>
        </w:rPr>
        <w:t xml:space="preserve">T2 1.858. </w:t>
      </w:r>
      <w:r w:rsidR="00292044" w:rsidRPr="00BC3964">
        <w:rPr>
          <w:rFonts w:ascii="Times New Roman" w:hAnsi="Times New Roman" w:cs="Times New Roman"/>
          <w:sz w:val="24"/>
          <w:szCs w:val="24"/>
        </w:rPr>
        <w:t xml:space="preserve">This was also shown in the </w:t>
      </w:r>
      <w:proofErr w:type="spellStart"/>
      <w:r w:rsidR="00265BEF" w:rsidRPr="00BC3964">
        <w:rPr>
          <w:rFonts w:ascii="Times New Roman" w:hAnsi="Times New Roman" w:cs="Times New Roman"/>
          <w:i/>
          <w:iCs/>
          <w:sz w:val="24"/>
          <w:szCs w:val="24"/>
        </w:rPr>
        <w:t>Bacillota</w:t>
      </w:r>
      <w:proofErr w:type="spellEnd"/>
      <w:r w:rsidR="00292044" w:rsidRPr="00BC3964">
        <w:rPr>
          <w:rFonts w:ascii="Times New Roman" w:hAnsi="Times New Roman" w:cs="Times New Roman"/>
          <w:i/>
          <w:iCs/>
          <w:sz w:val="24"/>
          <w:szCs w:val="24"/>
        </w:rPr>
        <w:t xml:space="preserve"> </w:t>
      </w:r>
      <w:r w:rsidR="00292044" w:rsidRPr="00BC3964">
        <w:rPr>
          <w:rFonts w:ascii="Times New Roman" w:hAnsi="Times New Roman" w:cs="Times New Roman"/>
          <w:sz w:val="24"/>
          <w:szCs w:val="24"/>
        </w:rPr>
        <w:t>phylum</w:t>
      </w:r>
      <w:r w:rsidR="00265BEF" w:rsidRPr="00BC3964">
        <w:rPr>
          <w:rFonts w:ascii="Times New Roman" w:hAnsi="Times New Roman" w:cs="Times New Roman"/>
          <w:i/>
          <w:iCs/>
          <w:sz w:val="24"/>
          <w:szCs w:val="24"/>
        </w:rPr>
        <w:t>, Clostridia</w:t>
      </w:r>
      <w:r w:rsidR="00292044" w:rsidRPr="00BC3964">
        <w:rPr>
          <w:rFonts w:ascii="Times New Roman" w:hAnsi="Times New Roman" w:cs="Times New Roman"/>
          <w:i/>
          <w:iCs/>
          <w:sz w:val="24"/>
          <w:szCs w:val="24"/>
        </w:rPr>
        <w:t xml:space="preserve"> </w:t>
      </w:r>
      <w:r w:rsidR="00292044" w:rsidRPr="00BC3964">
        <w:rPr>
          <w:rFonts w:ascii="Times New Roman" w:hAnsi="Times New Roman" w:cs="Times New Roman"/>
          <w:sz w:val="24"/>
          <w:szCs w:val="24"/>
        </w:rPr>
        <w:t>class</w:t>
      </w:r>
      <w:r w:rsidR="00265BEF" w:rsidRPr="00BC3964">
        <w:rPr>
          <w:rFonts w:ascii="Times New Roman" w:hAnsi="Times New Roman" w:cs="Times New Roman"/>
          <w:i/>
          <w:iCs/>
          <w:sz w:val="24"/>
          <w:szCs w:val="24"/>
        </w:rPr>
        <w:t xml:space="preserve">, </w:t>
      </w:r>
      <w:r w:rsidR="00265BEF" w:rsidRPr="00BC3964">
        <w:rPr>
          <w:rFonts w:ascii="Times New Roman" w:hAnsi="Times New Roman" w:cs="Times New Roman"/>
          <w:sz w:val="24"/>
          <w:szCs w:val="24"/>
        </w:rPr>
        <w:t xml:space="preserve">and </w:t>
      </w:r>
      <w:proofErr w:type="spellStart"/>
      <w:r w:rsidR="00265BEF" w:rsidRPr="00BC3964">
        <w:rPr>
          <w:rFonts w:ascii="Times New Roman" w:hAnsi="Times New Roman" w:cs="Times New Roman"/>
          <w:i/>
          <w:iCs/>
          <w:sz w:val="24"/>
          <w:szCs w:val="24"/>
        </w:rPr>
        <w:t>Lachnospiraceae</w:t>
      </w:r>
      <w:proofErr w:type="spellEnd"/>
      <w:r w:rsidR="00265BEF" w:rsidRPr="00BC3964">
        <w:rPr>
          <w:rFonts w:ascii="Times New Roman" w:hAnsi="Times New Roman" w:cs="Times New Roman"/>
          <w:i/>
          <w:iCs/>
          <w:sz w:val="24"/>
          <w:szCs w:val="24"/>
        </w:rPr>
        <w:t xml:space="preserve"> </w:t>
      </w:r>
      <w:r w:rsidR="00292044" w:rsidRPr="00BC3964">
        <w:rPr>
          <w:rFonts w:ascii="Times New Roman" w:hAnsi="Times New Roman" w:cs="Times New Roman"/>
          <w:sz w:val="24"/>
          <w:szCs w:val="24"/>
        </w:rPr>
        <w:t xml:space="preserve">family, </w:t>
      </w:r>
      <w:proofErr w:type="spellStart"/>
      <w:r w:rsidR="00292044" w:rsidRPr="00BC3964">
        <w:rPr>
          <w:rFonts w:ascii="Times New Roman" w:hAnsi="Times New Roman" w:cs="Times New Roman"/>
          <w:sz w:val="24"/>
          <w:szCs w:val="24"/>
        </w:rPr>
        <w:t>swhich</w:t>
      </w:r>
      <w:proofErr w:type="spellEnd"/>
      <w:r w:rsidR="00292044" w:rsidRPr="00BC3964">
        <w:rPr>
          <w:rFonts w:ascii="Times New Roman" w:hAnsi="Times New Roman" w:cs="Times New Roman"/>
          <w:sz w:val="24"/>
          <w:szCs w:val="24"/>
        </w:rPr>
        <w:t xml:space="preserve"> showed a </w:t>
      </w:r>
      <w:proofErr w:type="spellStart"/>
      <w:r w:rsidR="00292044" w:rsidRPr="00BC3964">
        <w:rPr>
          <w:rFonts w:ascii="Times New Roman" w:hAnsi="Times New Roman" w:cs="Times New Roman"/>
          <w:sz w:val="24"/>
          <w:szCs w:val="24"/>
        </w:rPr>
        <w:t>decrase</w:t>
      </w:r>
      <w:proofErr w:type="spellEnd"/>
      <w:r w:rsidR="00292044" w:rsidRPr="00BC3964">
        <w:rPr>
          <w:rFonts w:ascii="Times New Roman" w:hAnsi="Times New Roman" w:cs="Times New Roman"/>
          <w:sz w:val="24"/>
          <w:szCs w:val="24"/>
        </w:rPr>
        <w:t xml:space="preserve"> in the number of reads from </w:t>
      </w:r>
      <w:r w:rsidR="00265BEF" w:rsidRPr="00BC3964">
        <w:rPr>
          <w:rFonts w:ascii="Times New Roman" w:hAnsi="Times New Roman" w:cs="Times New Roman"/>
          <w:sz w:val="24"/>
          <w:szCs w:val="24"/>
        </w:rPr>
        <w:t xml:space="preserve">T0 897; T1 </w:t>
      </w:r>
      <w:r w:rsidR="00265BEF" w:rsidRPr="00D0720F">
        <w:rPr>
          <w:rFonts w:ascii="Times New Roman" w:hAnsi="Times New Roman" w:cs="Times New Roman"/>
          <w:sz w:val="24"/>
          <w:szCs w:val="24"/>
        </w:rPr>
        <w:t xml:space="preserve">658; </w:t>
      </w:r>
      <w:r w:rsidR="003852EE" w:rsidRPr="00D0720F">
        <w:rPr>
          <w:rFonts w:ascii="Times New Roman" w:hAnsi="Times New Roman" w:cs="Times New Roman"/>
          <w:sz w:val="24"/>
          <w:szCs w:val="24"/>
        </w:rPr>
        <w:t xml:space="preserve">and </w:t>
      </w:r>
      <w:r w:rsidR="00265BEF" w:rsidRPr="00D0720F">
        <w:rPr>
          <w:rFonts w:ascii="Times New Roman" w:hAnsi="Times New Roman" w:cs="Times New Roman"/>
          <w:sz w:val="24"/>
          <w:szCs w:val="24"/>
        </w:rPr>
        <w:t>T2 555. B</w:t>
      </w:r>
      <w:r w:rsidR="00C46913" w:rsidRPr="00D0720F">
        <w:rPr>
          <w:rFonts w:ascii="Times New Roman" w:hAnsi="Times New Roman" w:cs="Times New Roman"/>
          <w:sz w:val="24"/>
          <w:szCs w:val="24"/>
        </w:rPr>
        <w:t xml:space="preserve">ased on this, the </w:t>
      </w:r>
      <w:proofErr w:type="spellStart"/>
      <w:r w:rsidR="00C46913" w:rsidRPr="00D0720F">
        <w:rPr>
          <w:rFonts w:ascii="Times New Roman" w:hAnsi="Times New Roman" w:cs="Times New Roman"/>
          <w:sz w:val="24"/>
          <w:szCs w:val="24"/>
        </w:rPr>
        <w:t>decrase</w:t>
      </w:r>
      <w:proofErr w:type="spellEnd"/>
      <w:r w:rsidR="00C46913" w:rsidRPr="00D0720F">
        <w:rPr>
          <w:rFonts w:ascii="Times New Roman" w:hAnsi="Times New Roman" w:cs="Times New Roman"/>
          <w:sz w:val="24"/>
          <w:szCs w:val="24"/>
        </w:rPr>
        <w:t xml:space="preserve"> in dominant ASVs, especially in T1 and T2, indicated a response from the microbial community due to the supplementation of</w:t>
      </w:r>
      <w:r w:rsidR="00265BEF" w:rsidRPr="00D0720F">
        <w:rPr>
          <w:rFonts w:ascii="Times New Roman" w:hAnsi="Times New Roman" w:cs="Times New Roman"/>
          <w:sz w:val="24"/>
          <w:szCs w:val="24"/>
        </w:rPr>
        <w:t xml:space="preserve"> </w:t>
      </w:r>
      <w:r w:rsidR="00265BEF" w:rsidRPr="00D0720F">
        <w:rPr>
          <w:rFonts w:ascii="Times New Roman" w:hAnsi="Times New Roman" w:cs="Times New Roman"/>
          <w:i/>
          <w:iCs/>
          <w:sz w:val="24"/>
          <w:szCs w:val="24"/>
        </w:rPr>
        <w:t xml:space="preserve">Terminalia </w:t>
      </w:r>
      <w:proofErr w:type="spellStart"/>
      <w:r w:rsidR="00265BEF" w:rsidRPr="00D0720F">
        <w:rPr>
          <w:rFonts w:ascii="Times New Roman" w:hAnsi="Times New Roman" w:cs="Times New Roman"/>
          <w:i/>
          <w:iCs/>
          <w:sz w:val="24"/>
          <w:szCs w:val="24"/>
        </w:rPr>
        <w:t>Catappa</w:t>
      </w:r>
      <w:proofErr w:type="spellEnd"/>
      <w:r w:rsidR="00265BEF" w:rsidRPr="00D0720F">
        <w:rPr>
          <w:rFonts w:ascii="Times New Roman" w:hAnsi="Times New Roman" w:cs="Times New Roman"/>
          <w:i/>
          <w:iCs/>
          <w:sz w:val="24"/>
          <w:szCs w:val="24"/>
        </w:rPr>
        <w:t xml:space="preserve"> </w:t>
      </w:r>
      <w:r w:rsidR="00C46913" w:rsidRPr="00D0720F">
        <w:rPr>
          <w:rFonts w:ascii="Times New Roman" w:hAnsi="Times New Roman" w:cs="Times New Roman"/>
          <w:sz w:val="24"/>
          <w:szCs w:val="24"/>
        </w:rPr>
        <w:t>L. leaf extract.</w:t>
      </w:r>
    </w:p>
    <w:p w14:paraId="1F31D79C" w14:textId="77777777" w:rsidR="00265BEF" w:rsidRPr="00432A2A" w:rsidRDefault="00265BEF" w:rsidP="00265BEF">
      <w:pPr>
        <w:pStyle w:val="ListParagraph"/>
        <w:spacing w:line="240" w:lineRule="auto"/>
        <w:ind w:left="0" w:firstLine="426"/>
        <w:jc w:val="both"/>
        <w:rPr>
          <w:rFonts w:ascii="Times New Roman" w:hAnsi="Times New Roman" w:cs="Times New Roman"/>
          <w:sz w:val="24"/>
          <w:szCs w:val="24"/>
          <w:highlight w:val="yellow"/>
        </w:rPr>
      </w:pPr>
    </w:p>
    <w:p w14:paraId="562948B2" w14:textId="77777777" w:rsidR="00265BEF" w:rsidRPr="00D63610"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D63610">
        <w:rPr>
          <w:rFonts w:ascii="Times New Roman" w:hAnsi="Times New Roman" w:cs="Times New Roman"/>
          <w:b/>
          <w:bCs/>
          <w:sz w:val="24"/>
          <w:szCs w:val="24"/>
        </w:rPr>
        <w:lastRenderedPageBreak/>
        <w:t xml:space="preserve"> Alpha Diversity</w:t>
      </w:r>
    </w:p>
    <w:p w14:paraId="08D6CA61" w14:textId="77777777" w:rsidR="00265BEF" w:rsidRPr="00D63610" w:rsidRDefault="00265BEF" w:rsidP="00265BEF">
      <w:pPr>
        <w:pStyle w:val="ListParagraph"/>
        <w:spacing w:line="360" w:lineRule="auto"/>
        <w:ind w:left="0"/>
        <w:rPr>
          <w:rFonts w:ascii="Times New Roman" w:hAnsi="Times New Roman" w:cs="Times New Roman"/>
          <w:b/>
          <w:bCs/>
          <w:sz w:val="24"/>
          <w:szCs w:val="24"/>
        </w:rPr>
      </w:pPr>
      <w:r w:rsidRPr="00D63610">
        <w:rPr>
          <w:rFonts w:ascii="Times New Roman" w:hAnsi="Times New Roman" w:cs="Times New Roman"/>
          <w:b/>
          <w:bCs/>
          <w:noProof/>
          <w:sz w:val="24"/>
          <w:szCs w:val="24"/>
        </w:rPr>
        <w:drawing>
          <wp:inline distT="0" distB="0" distL="0" distR="0" wp14:anchorId="0AE9A4B5" wp14:editId="56233218">
            <wp:extent cx="5623560" cy="2811780"/>
            <wp:effectExtent l="0" t="0" r="0" b="0"/>
            <wp:docPr id="585024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88706" name="Picture 9564887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3560" cy="2811780"/>
                    </a:xfrm>
                    <a:prstGeom prst="rect">
                      <a:avLst/>
                    </a:prstGeom>
                  </pic:spPr>
                </pic:pic>
              </a:graphicData>
            </a:graphic>
          </wp:inline>
        </w:drawing>
      </w:r>
    </w:p>
    <w:p w14:paraId="3AC9AC7C" w14:textId="7165E93D" w:rsidR="00265BEF" w:rsidRDefault="00265BEF" w:rsidP="00501852">
      <w:pPr>
        <w:pStyle w:val="ListParagraph"/>
        <w:spacing w:after="0" w:line="360" w:lineRule="auto"/>
        <w:ind w:left="0"/>
        <w:jc w:val="center"/>
        <w:rPr>
          <w:rFonts w:ascii="Times New Roman" w:hAnsi="Times New Roman" w:cs="Times New Roman"/>
          <w:sz w:val="24"/>
          <w:szCs w:val="24"/>
        </w:rPr>
      </w:pPr>
      <w:r w:rsidRPr="00D63610">
        <w:rPr>
          <w:rFonts w:ascii="Times New Roman" w:hAnsi="Times New Roman" w:cs="Times New Roman"/>
          <w:sz w:val="24"/>
          <w:szCs w:val="24"/>
        </w:rPr>
        <w:t>Fig 1. Alpha Diversity Measure</w:t>
      </w:r>
    </w:p>
    <w:p w14:paraId="591C3FCE" w14:textId="77777777" w:rsidR="00501852" w:rsidRPr="00501852" w:rsidRDefault="00501852" w:rsidP="00501852">
      <w:pPr>
        <w:pStyle w:val="ListParagraph"/>
        <w:spacing w:after="0" w:line="240" w:lineRule="auto"/>
        <w:ind w:left="0"/>
        <w:jc w:val="center"/>
        <w:rPr>
          <w:rFonts w:ascii="Times New Roman" w:hAnsi="Times New Roman" w:cs="Times New Roman"/>
          <w:sz w:val="24"/>
          <w:szCs w:val="24"/>
        </w:rPr>
      </w:pPr>
    </w:p>
    <w:p w14:paraId="65EAF78C" w14:textId="5F8F89B4" w:rsidR="00265BEF" w:rsidRPr="00432A2A" w:rsidRDefault="00F10479" w:rsidP="00265BEF">
      <w:pPr>
        <w:pStyle w:val="ListParagraph"/>
        <w:spacing w:line="360" w:lineRule="auto"/>
        <w:ind w:left="0" w:firstLine="426"/>
        <w:jc w:val="both"/>
        <w:rPr>
          <w:rFonts w:ascii="Times New Roman" w:hAnsi="Times New Roman" w:cs="Times New Roman"/>
          <w:sz w:val="24"/>
          <w:szCs w:val="24"/>
          <w:highlight w:val="yellow"/>
        </w:rPr>
      </w:pPr>
      <w:r w:rsidRPr="00D56D3A">
        <w:rPr>
          <w:rFonts w:ascii="Times New Roman" w:hAnsi="Times New Roman" w:cs="Times New Roman"/>
          <w:sz w:val="24"/>
          <w:szCs w:val="24"/>
        </w:rPr>
        <w:t xml:space="preserve">According to </w:t>
      </w:r>
      <w:r w:rsidR="00265BEF" w:rsidRPr="00D56D3A">
        <w:rPr>
          <w:rFonts w:ascii="Times New Roman" w:hAnsi="Times New Roman" w:cs="Times New Roman"/>
          <w:sz w:val="24"/>
          <w:szCs w:val="24"/>
        </w:rPr>
        <w:t>Fig 1</w:t>
      </w:r>
      <w:r w:rsidRPr="00D56D3A">
        <w:rPr>
          <w:rFonts w:ascii="Times New Roman" w:hAnsi="Times New Roman" w:cs="Times New Roman"/>
          <w:sz w:val="24"/>
          <w:szCs w:val="24"/>
        </w:rPr>
        <w:t xml:space="preserve">. </w:t>
      </w:r>
      <w:r w:rsidR="00265BEF" w:rsidRPr="00D56D3A">
        <w:rPr>
          <w:rFonts w:ascii="Times New Roman" w:hAnsi="Times New Roman" w:cs="Times New Roman"/>
          <w:sz w:val="24"/>
          <w:szCs w:val="24"/>
        </w:rPr>
        <w:t xml:space="preserve">alpha diversity </w:t>
      </w:r>
      <w:r w:rsidRPr="00D56D3A">
        <w:rPr>
          <w:rFonts w:ascii="Times New Roman" w:hAnsi="Times New Roman" w:cs="Times New Roman"/>
          <w:sz w:val="24"/>
          <w:szCs w:val="24"/>
        </w:rPr>
        <w:t xml:space="preserve">analysis is divided in two approaches, which are species richness and species diversity. The species richness parameters are </w:t>
      </w:r>
      <w:r w:rsidR="00265BEF" w:rsidRPr="00D56D3A">
        <w:rPr>
          <w:rFonts w:ascii="Times New Roman" w:hAnsi="Times New Roman" w:cs="Times New Roman"/>
          <w:sz w:val="24"/>
          <w:szCs w:val="24"/>
        </w:rPr>
        <w:t xml:space="preserve">Observed, Chao1, </w:t>
      </w:r>
      <w:r w:rsidRPr="00D56D3A">
        <w:rPr>
          <w:rFonts w:ascii="Times New Roman" w:hAnsi="Times New Roman" w:cs="Times New Roman"/>
          <w:sz w:val="24"/>
          <w:szCs w:val="24"/>
        </w:rPr>
        <w:t>and</w:t>
      </w:r>
      <w:r w:rsidR="00265BEF" w:rsidRPr="00D56D3A">
        <w:rPr>
          <w:rFonts w:ascii="Times New Roman" w:hAnsi="Times New Roman" w:cs="Times New Roman"/>
          <w:sz w:val="24"/>
          <w:szCs w:val="24"/>
        </w:rPr>
        <w:t xml:space="preserve"> </w:t>
      </w:r>
      <w:r w:rsidR="00265BEF" w:rsidRPr="002D1EBC">
        <w:rPr>
          <w:rFonts w:ascii="Times New Roman" w:hAnsi="Times New Roman" w:cs="Times New Roman"/>
          <w:sz w:val="24"/>
          <w:szCs w:val="24"/>
        </w:rPr>
        <w:t>ACE</w:t>
      </w:r>
      <w:r w:rsidRPr="002D1EBC">
        <w:rPr>
          <w:rFonts w:ascii="Times New Roman" w:hAnsi="Times New Roman" w:cs="Times New Roman"/>
          <w:sz w:val="24"/>
          <w:szCs w:val="24"/>
        </w:rPr>
        <w:t xml:space="preserve">, which show an increase in T2 with values of </w:t>
      </w:r>
      <w:r w:rsidR="00265BEF" w:rsidRPr="002D1EBC">
        <w:rPr>
          <w:rFonts w:ascii="Times New Roman" w:hAnsi="Times New Roman" w:cs="Times New Roman"/>
          <w:sz w:val="24"/>
          <w:szCs w:val="24"/>
        </w:rPr>
        <w:t xml:space="preserve">788; 788,27; </w:t>
      </w:r>
      <w:r w:rsidRPr="002D1EBC">
        <w:rPr>
          <w:rFonts w:ascii="Times New Roman" w:hAnsi="Times New Roman" w:cs="Times New Roman"/>
          <w:sz w:val="24"/>
          <w:szCs w:val="24"/>
        </w:rPr>
        <w:t>and</w:t>
      </w:r>
      <w:r w:rsidR="00265BEF" w:rsidRPr="002D1EBC">
        <w:rPr>
          <w:rFonts w:ascii="Times New Roman" w:hAnsi="Times New Roman" w:cs="Times New Roman"/>
          <w:sz w:val="24"/>
          <w:szCs w:val="24"/>
        </w:rPr>
        <w:t xml:space="preserve"> 789,50</w:t>
      </w:r>
      <w:r w:rsidR="00D56D3A" w:rsidRPr="002D1EBC">
        <w:rPr>
          <w:rFonts w:ascii="Times New Roman" w:hAnsi="Times New Roman" w:cs="Times New Roman"/>
          <w:sz w:val="24"/>
          <w:szCs w:val="24"/>
        </w:rPr>
        <w:t xml:space="preserve"> respectively. In contrast, T0 as the control shows values that have a</w:t>
      </w:r>
      <w:r w:rsidR="008C747C">
        <w:rPr>
          <w:rFonts w:ascii="Times New Roman" w:hAnsi="Times New Roman" w:cs="Times New Roman"/>
          <w:sz w:val="24"/>
          <w:szCs w:val="24"/>
        </w:rPr>
        <w:t xml:space="preserve"> </w:t>
      </w:r>
      <w:r w:rsidR="00D56D3A" w:rsidRPr="002D1EBC">
        <w:rPr>
          <w:rFonts w:ascii="Times New Roman" w:hAnsi="Times New Roman" w:cs="Times New Roman"/>
          <w:sz w:val="24"/>
          <w:szCs w:val="24"/>
        </w:rPr>
        <w:t xml:space="preserve">tendency to be higher than T1. Meanwhile, species diversity is </w:t>
      </w:r>
      <w:proofErr w:type="spellStart"/>
      <w:r w:rsidR="00D56D3A" w:rsidRPr="002D1EBC">
        <w:rPr>
          <w:rFonts w:ascii="Times New Roman" w:hAnsi="Times New Roman" w:cs="Times New Roman"/>
          <w:sz w:val="24"/>
          <w:szCs w:val="24"/>
        </w:rPr>
        <w:t>comparised</w:t>
      </w:r>
      <w:proofErr w:type="spellEnd"/>
      <w:r w:rsidR="00D56D3A" w:rsidRPr="002D1EBC">
        <w:rPr>
          <w:rFonts w:ascii="Times New Roman" w:hAnsi="Times New Roman" w:cs="Times New Roman"/>
          <w:sz w:val="24"/>
          <w:szCs w:val="24"/>
        </w:rPr>
        <w:t xml:space="preserve"> of </w:t>
      </w:r>
      <w:r w:rsidR="00265BEF" w:rsidRPr="002D1EBC">
        <w:rPr>
          <w:rFonts w:ascii="Times New Roman" w:hAnsi="Times New Roman" w:cs="Times New Roman"/>
          <w:sz w:val="24"/>
          <w:szCs w:val="24"/>
        </w:rPr>
        <w:t xml:space="preserve">Shannon, </w:t>
      </w:r>
      <w:proofErr w:type="spellStart"/>
      <w:r w:rsidR="00265BEF" w:rsidRPr="002D1EBC">
        <w:rPr>
          <w:rFonts w:ascii="Times New Roman" w:hAnsi="Times New Roman" w:cs="Times New Roman"/>
          <w:sz w:val="24"/>
          <w:szCs w:val="24"/>
        </w:rPr>
        <w:t>InvSimpson</w:t>
      </w:r>
      <w:proofErr w:type="spellEnd"/>
      <w:r w:rsidR="00265BEF" w:rsidRPr="002D1EBC">
        <w:rPr>
          <w:rFonts w:ascii="Times New Roman" w:hAnsi="Times New Roman" w:cs="Times New Roman"/>
          <w:sz w:val="24"/>
          <w:szCs w:val="24"/>
        </w:rPr>
        <w:t xml:space="preserve">, </w:t>
      </w:r>
      <w:r w:rsidR="00D56D3A" w:rsidRPr="002D1EBC">
        <w:rPr>
          <w:rFonts w:ascii="Times New Roman" w:hAnsi="Times New Roman" w:cs="Times New Roman"/>
          <w:sz w:val="24"/>
          <w:szCs w:val="24"/>
        </w:rPr>
        <w:t>and</w:t>
      </w:r>
      <w:r w:rsidR="00265BEF" w:rsidRPr="002D1EBC">
        <w:rPr>
          <w:rFonts w:ascii="Times New Roman" w:hAnsi="Times New Roman" w:cs="Times New Roman"/>
          <w:sz w:val="24"/>
          <w:szCs w:val="24"/>
        </w:rPr>
        <w:t xml:space="preserve"> Fisher</w:t>
      </w:r>
      <w:r w:rsidR="00D56D3A" w:rsidRPr="002D1EBC">
        <w:rPr>
          <w:rFonts w:ascii="Times New Roman" w:hAnsi="Times New Roman" w:cs="Times New Roman"/>
          <w:sz w:val="24"/>
          <w:szCs w:val="24"/>
        </w:rPr>
        <w:t xml:space="preserve"> which show a more stable pattern with the highest values in T2. These values include</w:t>
      </w:r>
      <w:r w:rsidR="00265BEF" w:rsidRPr="002D1EBC">
        <w:rPr>
          <w:rFonts w:ascii="Times New Roman" w:hAnsi="Times New Roman" w:cs="Times New Roman"/>
          <w:sz w:val="24"/>
          <w:szCs w:val="24"/>
        </w:rPr>
        <w:t xml:space="preserve"> Shannon 5.731, </w:t>
      </w:r>
      <w:proofErr w:type="spellStart"/>
      <w:r w:rsidR="00265BEF" w:rsidRPr="002D1EBC">
        <w:rPr>
          <w:rFonts w:ascii="Times New Roman" w:hAnsi="Times New Roman" w:cs="Times New Roman"/>
          <w:sz w:val="24"/>
          <w:szCs w:val="24"/>
        </w:rPr>
        <w:t>InvSimpson</w:t>
      </w:r>
      <w:proofErr w:type="spellEnd"/>
      <w:r w:rsidR="00265BEF" w:rsidRPr="002D1EBC">
        <w:rPr>
          <w:rFonts w:ascii="Times New Roman" w:hAnsi="Times New Roman" w:cs="Times New Roman"/>
          <w:sz w:val="24"/>
          <w:szCs w:val="24"/>
        </w:rPr>
        <w:t xml:space="preserve"> 129,92, </w:t>
      </w:r>
      <w:r w:rsidR="00D56D3A" w:rsidRPr="002D1EBC">
        <w:rPr>
          <w:rFonts w:ascii="Times New Roman" w:hAnsi="Times New Roman" w:cs="Times New Roman"/>
          <w:sz w:val="24"/>
          <w:szCs w:val="24"/>
        </w:rPr>
        <w:t>and</w:t>
      </w:r>
      <w:r w:rsidR="00265BEF" w:rsidRPr="002D1EBC">
        <w:rPr>
          <w:rFonts w:ascii="Times New Roman" w:hAnsi="Times New Roman" w:cs="Times New Roman"/>
          <w:sz w:val="24"/>
          <w:szCs w:val="24"/>
        </w:rPr>
        <w:t xml:space="preserve"> Fisher 130,35. </w:t>
      </w:r>
      <w:r w:rsidR="00D56D3A" w:rsidRPr="002D1EBC">
        <w:rPr>
          <w:rFonts w:ascii="Times New Roman" w:hAnsi="Times New Roman" w:cs="Times New Roman"/>
          <w:sz w:val="24"/>
          <w:szCs w:val="24"/>
        </w:rPr>
        <w:t xml:space="preserve">In contrast to species richness, T1 shows higher values for species diversity compared to T0. This indicates that the pattern of increased diversity is consistent with the level of supplementation with </w:t>
      </w:r>
      <w:r w:rsidR="00265BEF" w:rsidRPr="002D1EBC">
        <w:rPr>
          <w:rFonts w:ascii="Times New Roman" w:hAnsi="Times New Roman" w:cs="Times New Roman"/>
          <w:i/>
          <w:iCs/>
          <w:sz w:val="24"/>
          <w:szCs w:val="24"/>
        </w:rPr>
        <w:t xml:space="preserve">Terminalia </w:t>
      </w:r>
      <w:proofErr w:type="spellStart"/>
      <w:r w:rsidR="00265BEF" w:rsidRPr="002D1EBC">
        <w:rPr>
          <w:rFonts w:ascii="Times New Roman" w:hAnsi="Times New Roman" w:cs="Times New Roman"/>
          <w:i/>
          <w:iCs/>
          <w:sz w:val="24"/>
          <w:szCs w:val="24"/>
        </w:rPr>
        <w:t>Catappa</w:t>
      </w:r>
      <w:proofErr w:type="spellEnd"/>
      <w:r w:rsidR="00265BEF" w:rsidRPr="002D1EBC">
        <w:rPr>
          <w:rFonts w:ascii="Times New Roman" w:hAnsi="Times New Roman" w:cs="Times New Roman"/>
          <w:i/>
          <w:iCs/>
          <w:sz w:val="24"/>
          <w:szCs w:val="24"/>
        </w:rPr>
        <w:t xml:space="preserve"> </w:t>
      </w:r>
      <w:r w:rsidR="00265BEF" w:rsidRPr="002D1EBC">
        <w:rPr>
          <w:rFonts w:ascii="Times New Roman" w:hAnsi="Times New Roman" w:cs="Times New Roman"/>
          <w:sz w:val="24"/>
          <w:szCs w:val="24"/>
        </w:rPr>
        <w:t>L. leaf</w:t>
      </w:r>
      <w:r w:rsidR="00D56D3A" w:rsidRPr="002D1EBC">
        <w:rPr>
          <w:rFonts w:ascii="Times New Roman" w:hAnsi="Times New Roman" w:cs="Times New Roman"/>
          <w:sz w:val="24"/>
          <w:szCs w:val="24"/>
        </w:rPr>
        <w:t xml:space="preserve"> extract.</w:t>
      </w:r>
    </w:p>
    <w:p w14:paraId="0227A249" w14:textId="77777777" w:rsidR="00265BEF" w:rsidRPr="00432A2A" w:rsidRDefault="00265BEF" w:rsidP="00265BEF">
      <w:pPr>
        <w:pStyle w:val="ListParagraph"/>
        <w:spacing w:line="240" w:lineRule="auto"/>
        <w:ind w:left="0" w:firstLine="426"/>
        <w:jc w:val="both"/>
        <w:rPr>
          <w:rFonts w:ascii="Times New Roman" w:hAnsi="Times New Roman" w:cs="Times New Roman"/>
          <w:sz w:val="24"/>
          <w:szCs w:val="24"/>
          <w:highlight w:val="yellow"/>
        </w:rPr>
      </w:pPr>
    </w:p>
    <w:p w14:paraId="458977A0" w14:textId="77777777" w:rsidR="00265BEF" w:rsidRPr="001F7756" w:rsidRDefault="00265BEF" w:rsidP="00265BEF">
      <w:pPr>
        <w:pStyle w:val="ListParagraph"/>
        <w:numPr>
          <w:ilvl w:val="1"/>
          <w:numId w:val="1"/>
        </w:numPr>
        <w:spacing w:line="360" w:lineRule="auto"/>
        <w:ind w:left="426" w:hanging="426"/>
        <w:rPr>
          <w:rFonts w:ascii="Times New Roman" w:hAnsi="Times New Roman" w:cs="Times New Roman"/>
          <w:b/>
          <w:bCs/>
          <w:sz w:val="24"/>
          <w:szCs w:val="24"/>
        </w:rPr>
      </w:pPr>
      <w:r w:rsidRPr="001F7756">
        <w:rPr>
          <w:rFonts w:ascii="Times New Roman" w:hAnsi="Times New Roman" w:cs="Times New Roman"/>
          <w:b/>
          <w:bCs/>
          <w:sz w:val="24"/>
          <w:szCs w:val="24"/>
        </w:rPr>
        <w:t>Beta Diversity</w:t>
      </w:r>
    </w:p>
    <w:p w14:paraId="45BF1C4E" w14:textId="1E0CC0FD" w:rsidR="00265BEF" w:rsidRDefault="0053378C" w:rsidP="00265BEF">
      <w:pPr>
        <w:pStyle w:val="ListParagraph"/>
        <w:spacing w:line="360" w:lineRule="auto"/>
        <w:ind w:left="0" w:firstLine="426"/>
        <w:jc w:val="both"/>
        <w:rPr>
          <w:rFonts w:ascii="Times New Roman" w:hAnsi="Times New Roman" w:cs="Times New Roman"/>
          <w:sz w:val="24"/>
          <w:szCs w:val="24"/>
        </w:rPr>
      </w:pPr>
      <w:r w:rsidRPr="0053378C">
        <w:rPr>
          <w:rFonts w:ascii="Times New Roman" w:hAnsi="Times New Roman" w:cs="Times New Roman"/>
          <w:sz w:val="24"/>
          <w:szCs w:val="24"/>
        </w:rPr>
        <w:t xml:space="preserve">Beta diversity analysis on Bray-Curtis based </w:t>
      </w:r>
      <w:proofErr w:type="spellStart"/>
      <w:r w:rsidRPr="0053378C">
        <w:rPr>
          <w:rFonts w:ascii="Times New Roman" w:hAnsi="Times New Roman" w:cs="Times New Roman"/>
          <w:sz w:val="24"/>
          <w:szCs w:val="24"/>
        </w:rPr>
        <w:t>PCoA</w:t>
      </w:r>
      <w:proofErr w:type="spellEnd"/>
      <w:r w:rsidRPr="0053378C">
        <w:rPr>
          <w:rFonts w:ascii="Times New Roman" w:hAnsi="Times New Roman" w:cs="Times New Roman"/>
          <w:sz w:val="24"/>
          <w:szCs w:val="24"/>
        </w:rPr>
        <w:t xml:space="preserve"> shows that T0 is separated from T1 and T2. This indicates that the microbial composition differs based on relative abundance. These results are also consistent with NMDS which </w:t>
      </w:r>
      <w:proofErr w:type="spellStart"/>
      <w:r w:rsidRPr="0053378C">
        <w:rPr>
          <w:rFonts w:ascii="Times New Roman" w:hAnsi="Times New Roman" w:cs="Times New Roman"/>
          <w:sz w:val="24"/>
          <w:szCs w:val="24"/>
        </w:rPr>
        <w:t>revelas</w:t>
      </w:r>
      <w:proofErr w:type="spellEnd"/>
      <w:r w:rsidRPr="0053378C">
        <w:rPr>
          <w:rFonts w:ascii="Times New Roman" w:hAnsi="Times New Roman" w:cs="Times New Roman"/>
          <w:sz w:val="24"/>
          <w:szCs w:val="24"/>
        </w:rPr>
        <w:t xml:space="preserve"> a distance between treatments, resulting from differences in microbial communities. Meanwhile, </w:t>
      </w:r>
      <w:proofErr w:type="spellStart"/>
      <w:r w:rsidRPr="0053378C">
        <w:rPr>
          <w:rFonts w:ascii="Times New Roman" w:hAnsi="Times New Roman" w:cs="Times New Roman"/>
          <w:sz w:val="24"/>
          <w:szCs w:val="24"/>
        </w:rPr>
        <w:t>unifrac</w:t>
      </w:r>
      <w:proofErr w:type="spellEnd"/>
      <w:r w:rsidRPr="0053378C">
        <w:rPr>
          <w:rFonts w:ascii="Times New Roman" w:hAnsi="Times New Roman" w:cs="Times New Roman"/>
          <w:sz w:val="24"/>
          <w:szCs w:val="24"/>
        </w:rPr>
        <w:t xml:space="preserve"> and </w:t>
      </w:r>
      <w:proofErr w:type="spellStart"/>
      <w:r w:rsidRPr="0053378C">
        <w:rPr>
          <w:rFonts w:ascii="Times New Roman" w:hAnsi="Times New Roman" w:cs="Times New Roman"/>
          <w:sz w:val="24"/>
          <w:szCs w:val="24"/>
        </w:rPr>
        <w:t>wunifrac</w:t>
      </w:r>
      <w:proofErr w:type="spellEnd"/>
      <w:r w:rsidRPr="0053378C">
        <w:rPr>
          <w:rFonts w:ascii="Times New Roman" w:hAnsi="Times New Roman" w:cs="Times New Roman"/>
          <w:sz w:val="24"/>
          <w:szCs w:val="24"/>
        </w:rPr>
        <w:t xml:space="preserve"> analysis show differences affected by the availability or un-availability of taxa and relative abundance of taxa.</w:t>
      </w:r>
    </w:p>
    <w:p w14:paraId="43279E46" w14:textId="77777777" w:rsidR="0053378C" w:rsidRPr="0053378C" w:rsidRDefault="0053378C" w:rsidP="0053378C">
      <w:pPr>
        <w:pStyle w:val="ListParagraph"/>
        <w:spacing w:line="240" w:lineRule="auto"/>
        <w:ind w:left="0" w:firstLine="426"/>
        <w:jc w:val="both"/>
        <w:rPr>
          <w:rFonts w:ascii="Times New Roman" w:hAnsi="Times New Roman" w:cs="Times New Roman"/>
          <w:sz w:val="24"/>
          <w:szCs w:val="24"/>
        </w:rPr>
      </w:pPr>
    </w:p>
    <w:p w14:paraId="4FADAB62" w14:textId="77777777" w:rsidR="00265BEF" w:rsidRPr="00D63610" w:rsidRDefault="00265BEF" w:rsidP="00265BEF">
      <w:pPr>
        <w:pStyle w:val="ListParagraph"/>
        <w:spacing w:line="360" w:lineRule="auto"/>
        <w:ind w:left="0"/>
        <w:jc w:val="center"/>
        <w:rPr>
          <w:rFonts w:ascii="Times New Roman" w:hAnsi="Times New Roman" w:cs="Times New Roman"/>
          <w:b/>
          <w:bCs/>
          <w:sz w:val="24"/>
          <w:szCs w:val="24"/>
        </w:rPr>
      </w:pPr>
      <w:r w:rsidRPr="00D63610">
        <w:rPr>
          <w:rFonts w:ascii="Times New Roman" w:hAnsi="Times New Roman" w:cs="Times New Roman"/>
          <w:b/>
          <w:bCs/>
          <w:noProof/>
          <w:sz w:val="24"/>
          <w:szCs w:val="24"/>
        </w:rPr>
        <w:lastRenderedPageBreak/>
        <w:drawing>
          <wp:inline distT="0" distB="0" distL="0" distR="0" wp14:anchorId="4CE0DA0E" wp14:editId="691A223A">
            <wp:extent cx="3600000" cy="3600000"/>
            <wp:effectExtent l="0" t="0" r="0" b="0"/>
            <wp:docPr id="36234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4972" name="Picture 2452449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14:paraId="5494C0A4" w14:textId="77777777" w:rsidR="00265BEF" w:rsidRPr="008002C7" w:rsidRDefault="00265BEF" w:rsidP="00265BEF">
      <w:pPr>
        <w:pStyle w:val="ListParagraph"/>
        <w:spacing w:line="360" w:lineRule="auto"/>
        <w:ind w:left="426"/>
        <w:jc w:val="center"/>
        <w:rPr>
          <w:rFonts w:ascii="Times New Roman" w:hAnsi="Times New Roman" w:cs="Times New Roman"/>
          <w:sz w:val="24"/>
          <w:szCs w:val="24"/>
          <w:lang w:val="pt-BR"/>
        </w:rPr>
      </w:pPr>
      <w:r w:rsidRPr="008002C7">
        <w:rPr>
          <w:rFonts w:ascii="Times New Roman" w:hAnsi="Times New Roman" w:cs="Times New Roman"/>
          <w:sz w:val="24"/>
          <w:szCs w:val="24"/>
          <w:lang w:val="pt-BR"/>
        </w:rPr>
        <w:t>Fig 2. PCoA – PCoA1 vs PCoA2 (bray)</w:t>
      </w:r>
    </w:p>
    <w:p w14:paraId="69AF3EF3" w14:textId="77777777" w:rsidR="00265BEF" w:rsidRPr="008002C7" w:rsidRDefault="00265BEF" w:rsidP="00265BEF">
      <w:pPr>
        <w:pStyle w:val="ListParagraph"/>
        <w:spacing w:line="360" w:lineRule="auto"/>
        <w:ind w:left="426"/>
        <w:jc w:val="center"/>
        <w:rPr>
          <w:rFonts w:ascii="Times New Roman" w:hAnsi="Times New Roman" w:cs="Times New Roman"/>
          <w:b/>
          <w:bCs/>
          <w:sz w:val="24"/>
          <w:szCs w:val="24"/>
          <w:lang w:val="pt-BR"/>
        </w:rPr>
      </w:pPr>
    </w:p>
    <w:p w14:paraId="030ED549" w14:textId="77777777" w:rsidR="00265BEF" w:rsidRPr="00D63610" w:rsidRDefault="00265BEF" w:rsidP="00265BEF">
      <w:pPr>
        <w:pStyle w:val="ListParagraph"/>
        <w:spacing w:line="360" w:lineRule="auto"/>
        <w:ind w:left="0"/>
        <w:rPr>
          <w:rFonts w:ascii="Times New Roman" w:hAnsi="Times New Roman" w:cs="Times New Roman"/>
          <w:b/>
          <w:bCs/>
          <w:sz w:val="24"/>
          <w:szCs w:val="24"/>
        </w:rPr>
      </w:pPr>
      <w:r w:rsidRPr="00D63610">
        <w:rPr>
          <w:rFonts w:ascii="Times New Roman" w:hAnsi="Times New Roman" w:cs="Times New Roman"/>
          <w:b/>
          <w:bCs/>
          <w:noProof/>
          <w:sz w:val="24"/>
          <w:szCs w:val="24"/>
        </w:rPr>
        <w:drawing>
          <wp:inline distT="0" distB="0" distL="0" distR="0" wp14:anchorId="2A9FEE6D" wp14:editId="1F09CDA7">
            <wp:extent cx="5669280" cy="3306975"/>
            <wp:effectExtent l="0" t="0" r="0" b="0"/>
            <wp:docPr id="1385240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40674" name="Picture 13852406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9614" cy="3313003"/>
                    </a:xfrm>
                    <a:prstGeom prst="rect">
                      <a:avLst/>
                    </a:prstGeom>
                  </pic:spPr>
                </pic:pic>
              </a:graphicData>
            </a:graphic>
          </wp:inline>
        </w:drawing>
      </w:r>
    </w:p>
    <w:p w14:paraId="6B18FF4C" w14:textId="77777777" w:rsidR="00265BEF" w:rsidRPr="00D63610" w:rsidRDefault="00265BEF" w:rsidP="00265BEF">
      <w:pPr>
        <w:pStyle w:val="ListParagraph"/>
        <w:spacing w:line="360" w:lineRule="auto"/>
        <w:ind w:left="426"/>
        <w:jc w:val="center"/>
        <w:rPr>
          <w:rFonts w:ascii="Times New Roman" w:hAnsi="Times New Roman" w:cs="Times New Roman"/>
          <w:sz w:val="24"/>
          <w:szCs w:val="24"/>
        </w:rPr>
      </w:pPr>
      <w:r w:rsidRPr="00D63610">
        <w:rPr>
          <w:rFonts w:ascii="Times New Roman" w:hAnsi="Times New Roman" w:cs="Times New Roman"/>
          <w:sz w:val="24"/>
          <w:szCs w:val="24"/>
        </w:rPr>
        <w:t>Fig 3. Non-metric Multidimensional Scaling (NMDS)</w:t>
      </w:r>
    </w:p>
    <w:p w14:paraId="39070624" w14:textId="77777777" w:rsidR="00265BEF" w:rsidRPr="00D63610" w:rsidRDefault="00265BEF" w:rsidP="00265BEF">
      <w:pPr>
        <w:pStyle w:val="ListParagraph"/>
        <w:spacing w:line="360" w:lineRule="auto"/>
        <w:ind w:left="426"/>
        <w:jc w:val="cente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44"/>
      </w:tblGrid>
      <w:tr w:rsidR="00265BEF" w:rsidRPr="00D63610" w14:paraId="5C08133C" w14:textId="77777777" w:rsidTr="00D92788">
        <w:tc>
          <w:tcPr>
            <w:tcW w:w="5103" w:type="dxa"/>
          </w:tcPr>
          <w:p w14:paraId="5D83637A" w14:textId="77777777" w:rsidR="00265BEF" w:rsidRPr="00D63610" w:rsidRDefault="00265BEF" w:rsidP="00D92788">
            <w:pPr>
              <w:pStyle w:val="ListParagraph"/>
              <w:spacing w:line="360" w:lineRule="auto"/>
              <w:ind w:left="0"/>
              <w:jc w:val="center"/>
              <w:rPr>
                <w:rFonts w:ascii="Times New Roman" w:hAnsi="Times New Roman" w:cs="Times New Roman"/>
                <w:b/>
                <w:bCs/>
                <w:sz w:val="24"/>
                <w:szCs w:val="24"/>
              </w:rPr>
            </w:pPr>
            <w:r w:rsidRPr="00D63610">
              <w:rPr>
                <w:rFonts w:ascii="Times New Roman" w:hAnsi="Times New Roman" w:cs="Times New Roman"/>
                <w:b/>
                <w:bCs/>
                <w:noProof/>
                <w:sz w:val="24"/>
                <w:szCs w:val="24"/>
              </w:rPr>
              <w:lastRenderedPageBreak/>
              <w:drawing>
                <wp:inline distT="0" distB="0" distL="0" distR="0" wp14:anchorId="6524D4ED" wp14:editId="510985E7">
                  <wp:extent cx="2625090" cy="3099460"/>
                  <wp:effectExtent l="0" t="0" r="0" b="0"/>
                  <wp:docPr id="3746931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74037" name="Picture 5137740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3501" cy="3121198"/>
                          </a:xfrm>
                          <a:prstGeom prst="rect">
                            <a:avLst/>
                          </a:prstGeom>
                        </pic:spPr>
                      </pic:pic>
                    </a:graphicData>
                  </a:graphic>
                </wp:inline>
              </w:drawing>
            </w:r>
          </w:p>
          <w:p w14:paraId="148C1557" w14:textId="77777777" w:rsidR="00265BEF" w:rsidRPr="008002C7" w:rsidRDefault="00265BEF" w:rsidP="00D92788">
            <w:pPr>
              <w:pStyle w:val="ListParagraph"/>
              <w:spacing w:line="360" w:lineRule="auto"/>
              <w:ind w:left="39"/>
              <w:jc w:val="center"/>
              <w:rPr>
                <w:rFonts w:ascii="Times New Roman" w:hAnsi="Times New Roman" w:cs="Times New Roman"/>
                <w:sz w:val="24"/>
                <w:szCs w:val="24"/>
                <w:lang w:val="pt-BR"/>
              </w:rPr>
            </w:pPr>
            <w:r w:rsidRPr="008002C7">
              <w:rPr>
                <w:rFonts w:ascii="Times New Roman" w:hAnsi="Times New Roman" w:cs="Times New Roman"/>
                <w:sz w:val="24"/>
                <w:szCs w:val="24"/>
                <w:lang w:val="pt-BR"/>
              </w:rPr>
              <w:t>Fig 4. PCoA – PCoA1 vs PCoA2 (unifrac)</w:t>
            </w:r>
          </w:p>
          <w:p w14:paraId="5D1B7229" w14:textId="77777777" w:rsidR="00265BEF" w:rsidRPr="008002C7" w:rsidRDefault="00265BEF" w:rsidP="00D92788">
            <w:pPr>
              <w:pStyle w:val="ListParagraph"/>
              <w:spacing w:line="360" w:lineRule="auto"/>
              <w:ind w:left="0"/>
              <w:jc w:val="center"/>
              <w:rPr>
                <w:rFonts w:ascii="Times New Roman" w:hAnsi="Times New Roman" w:cs="Times New Roman"/>
                <w:sz w:val="24"/>
                <w:szCs w:val="24"/>
                <w:lang w:val="pt-BR"/>
              </w:rPr>
            </w:pPr>
          </w:p>
        </w:tc>
        <w:tc>
          <w:tcPr>
            <w:tcW w:w="4031" w:type="dxa"/>
          </w:tcPr>
          <w:p w14:paraId="00F77AA5" w14:textId="77777777" w:rsidR="00265BEF" w:rsidRPr="00D63610" w:rsidRDefault="00265BEF" w:rsidP="00D92788">
            <w:pPr>
              <w:pStyle w:val="ListParagraph"/>
              <w:spacing w:line="360" w:lineRule="auto"/>
              <w:ind w:left="0"/>
              <w:jc w:val="center"/>
              <w:rPr>
                <w:rFonts w:ascii="Times New Roman" w:hAnsi="Times New Roman" w:cs="Times New Roman"/>
                <w:b/>
                <w:bCs/>
                <w:sz w:val="24"/>
                <w:szCs w:val="24"/>
              </w:rPr>
            </w:pPr>
            <w:r w:rsidRPr="00D63610">
              <w:rPr>
                <w:rFonts w:ascii="Times New Roman" w:hAnsi="Times New Roman" w:cs="Times New Roman"/>
                <w:b/>
                <w:bCs/>
                <w:noProof/>
                <w:sz w:val="24"/>
                <w:szCs w:val="24"/>
              </w:rPr>
              <w:drawing>
                <wp:inline distT="0" distB="0" distL="0" distR="0" wp14:anchorId="7562C7C8" wp14:editId="69972DD4">
                  <wp:extent cx="2684907" cy="3099435"/>
                  <wp:effectExtent l="0" t="0" r="0" b="0"/>
                  <wp:docPr id="14701780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58521" name="Picture 18135585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2445" cy="3108137"/>
                          </a:xfrm>
                          <a:prstGeom prst="rect">
                            <a:avLst/>
                          </a:prstGeom>
                        </pic:spPr>
                      </pic:pic>
                    </a:graphicData>
                  </a:graphic>
                </wp:inline>
              </w:drawing>
            </w:r>
          </w:p>
          <w:p w14:paraId="3128C710" w14:textId="77777777" w:rsidR="00265BEF" w:rsidRPr="00D63610" w:rsidRDefault="00265BEF" w:rsidP="00D92788">
            <w:pPr>
              <w:pStyle w:val="ListParagraph"/>
              <w:ind w:left="27"/>
              <w:jc w:val="center"/>
              <w:rPr>
                <w:rFonts w:ascii="Times New Roman" w:hAnsi="Times New Roman" w:cs="Times New Roman"/>
                <w:sz w:val="24"/>
                <w:szCs w:val="24"/>
              </w:rPr>
            </w:pPr>
            <w:r w:rsidRPr="00D63610">
              <w:rPr>
                <w:rFonts w:ascii="Times New Roman" w:hAnsi="Times New Roman" w:cs="Times New Roman"/>
                <w:sz w:val="24"/>
                <w:szCs w:val="24"/>
              </w:rPr>
              <w:t xml:space="preserve">Fig 5. </w:t>
            </w:r>
            <w:proofErr w:type="spellStart"/>
            <w:r w:rsidRPr="00D63610">
              <w:rPr>
                <w:rFonts w:ascii="Times New Roman" w:hAnsi="Times New Roman" w:cs="Times New Roman"/>
                <w:sz w:val="24"/>
                <w:szCs w:val="24"/>
              </w:rPr>
              <w:t>PCoA</w:t>
            </w:r>
            <w:proofErr w:type="spellEnd"/>
            <w:r w:rsidRPr="00D63610">
              <w:rPr>
                <w:rFonts w:ascii="Times New Roman" w:hAnsi="Times New Roman" w:cs="Times New Roman"/>
                <w:sz w:val="24"/>
                <w:szCs w:val="24"/>
              </w:rPr>
              <w:t xml:space="preserve"> – PCoA1 vs PCoA2 (</w:t>
            </w:r>
            <w:proofErr w:type="spellStart"/>
            <w:r w:rsidRPr="00D63610">
              <w:rPr>
                <w:rFonts w:ascii="Times New Roman" w:hAnsi="Times New Roman" w:cs="Times New Roman"/>
                <w:sz w:val="24"/>
                <w:szCs w:val="24"/>
              </w:rPr>
              <w:t>wunifrac</w:t>
            </w:r>
            <w:proofErr w:type="spellEnd"/>
            <w:r w:rsidRPr="00D63610">
              <w:rPr>
                <w:rFonts w:ascii="Times New Roman" w:hAnsi="Times New Roman" w:cs="Times New Roman"/>
                <w:sz w:val="24"/>
                <w:szCs w:val="24"/>
              </w:rPr>
              <w:t>)</w:t>
            </w:r>
          </w:p>
          <w:p w14:paraId="0469705B" w14:textId="77777777" w:rsidR="00265BEF" w:rsidRPr="00D63610" w:rsidRDefault="00265BEF" w:rsidP="00D92788">
            <w:pPr>
              <w:pStyle w:val="ListParagraph"/>
              <w:spacing w:line="360" w:lineRule="auto"/>
              <w:ind w:left="0"/>
              <w:jc w:val="center"/>
              <w:rPr>
                <w:rFonts w:ascii="Times New Roman" w:hAnsi="Times New Roman" w:cs="Times New Roman"/>
                <w:sz w:val="24"/>
                <w:szCs w:val="24"/>
              </w:rPr>
            </w:pPr>
          </w:p>
        </w:tc>
      </w:tr>
    </w:tbl>
    <w:p w14:paraId="5DC3C260" w14:textId="7194ABF3" w:rsidR="00265BEF" w:rsidRPr="00383BC7" w:rsidRDefault="00265BEF" w:rsidP="00265BEF">
      <w:pPr>
        <w:pStyle w:val="ListParagraph"/>
        <w:numPr>
          <w:ilvl w:val="1"/>
          <w:numId w:val="1"/>
        </w:numPr>
        <w:spacing w:line="360" w:lineRule="auto"/>
        <w:ind w:left="426"/>
        <w:rPr>
          <w:rFonts w:ascii="Times New Roman" w:hAnsi="Times New Roman" w:cs="Times New Roman"/>
          <w:b/>
          <w:bCs/>
          <w:sz w:val="24"/>
          <w:szCs w:val="24"/>
        </w:rPr>
      </w:pPr>
      <w:r w:rsidRPr="00383BC7">
        <w:rPr>
          <w:rFonts w:ascii="Times New Roman" w:hAnsi="Times New Roman" w:cs="Times New Roman"/>
          <w:b/>
          <w:bCs/>
          <w:sz w:val="24"/>
          <w:szCs w:val="24"/>
        </w:rPr>
        <w:t>Relative Abundance at the Family Level</w:t>
      </w:r>
    </w:p>
    <w:p w14:paraId="3A04CA1F" w14:textId="77777777" w:rsidR="00265BEF" w:rsidRPr="00432A2A" w:rsidRDefault="00265BEF" w:rsidP="00265BEF">
      <w:pPr>
        <w:pStyle w:val="ListParagraph"/>
        <w:spacing w:line="360" w:lineRule="auto"/>
        <w:ind w:left="0"/>
        <w:jc w:val="center"/>
        <w:rPr>
          <w:rFonts w:ascii="Times New Roman" w:hAnsi="Times New Roman" w:cs="Times New Roman"/>
          <w:b/>
          <w:bCs/>
          <w:sz w:val="24"/>
          <w:szCs w:val="24"/>
          <w:highlight w:val="yellow"/>
        </w:rPr>
      </w:pPr>
      <w:r w:rsidRPr="00D63610">
        <w:rPr>
          <w:rFonts w:ascii="Times New Roman" w:hAnsi="Times New Roman" w:cs="Times New Roman"/>
          <w:b/>
          <w:bCs/>
          <w:noProof/>
          <w:sz w:val="24"/>
          <w:szCs w:val="24"/>
        </w:rPr>
        <w:drawing>
          <wp:inline distT="0" distB="0" distL="0" distR="0" wp14:anchorId="67C606B0" wp14:editId="4D76998F">
            <wp:extent cx="4325420" cy="4325420"/>
            <wp:effectExtent l="0" t="0" r="0" b="0"/>
            <wp:docPr id="142504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45246" name="Picture 1425045246"/>
                    <pic:cNvPicPr/>
                  </pic:nvPicPr>
                  <pic:blipFill>
                    <a:blip r:embed="rId12">
                      <a:extLst>
                        <a:ext uri="{28A0092B-C50C-407E-A947-70E740481C1C}">
                          <a14:useLocalDpi xmlns:a14="http://schemas.microsoft.com/office/drawing/2010/main" val="0"/>
                        </a:ext>
                      </a:extLst>
                    </a:blip>
                    <a:stretch>
                      <a:fillRect/>
                    </a:stretch>
                  </pic:blipFill>
                  <pic:spPr>
                    <a:xfrm>
                      <a:off x="0" y="0"/>
                      <a:ext cx="4326381" cy="4326381"/>
                    </a:xfrm>
                    <a:prstGeom prst="rect">
                      <a:avLst/>
                    </a:prstGeom>
                  </pic:spPr>
                </pic:pic>
              </a:graphicData>
            </a:graphic>
          </wp:inline>
        </w:drawing>
      </w:r>
    </w:p>
    <w:p w14:paraId="55333F3D" w14:textId="47B8DD9F" w:rsidR="00265BEF" w:rsidRPr="00E95143" w:rsidRDefault="00265BEF" w:rsidP="00E95143">
      <w:pPr>
        <w:pStyle w:val="ListParagraph"/>
        <w:spacing w:line="360" w:lineRule="auto"/>
        <w:ind w:left="0"/>
        <w:jc w:val="center"/>
        <w:rPr>
          <w:rFonts w:ascii="Times New Roman" w:hAnsi="Times New Roman" w:cs="Times New Roman"/>
          <w:sz w:val="24"/>
          <w:szCs w:val="24"/>
        </w:rPr>
      </w:pPr>
      <w:r w:rsidRPr="004F1F6E">
        <w:rPr>
          <w:rFonts w:ascii="Times New Roman" w:hAnsi="Times New Roman" w:cs="Times New Roman"/>
          <w:sz w:val="24"/>
          <w:szCs w:val="24"/>
        </w:rPr>
        <w:t>Fig 6. Relative Abundance</w:t>
      </w:r>
    </w:p>
    <w:p w14:paraId="2A0DE9B1" w14:textId="2A0BB5A9" w:rsidR="00265BEF" w:rsidRPr="00432A2A" w:rsidRDefault="00ED260F" w:rsidP="00265BEF">
      <w:pPr>
        <w:pStyle w:val="ListParagraph"/>
        <w:spacing w:line="360" w:lineRule="auto"/>
        <w:ind w:left="0" w:firstLine="426"/>
        <w:jc w:val="both"/>
        <w:rPr>
          <w:rFonts w:ascii="Times New Roman" w:hAnsi="Times New Roman" w:cs="Times New Roman"/>
          <w:sz w:val="24"/>
          <w:szCs w:val="24"/>
          <w:highlight w:val="yellow"/>
        </w:rPr>
      </w:pPr>
      <w:r w:rsidRPr="00A95499">
        <w:rPr>
          <w:rFonts w:ascii="Times New Roman" w:hAnsi="Times New Roman" w:cs="Times New Roman"/>
          <w:sz w:val="24"/>
          <w:szCs w:val="24"/>
        </w:rPr>
        <w:lastRenderedPageBreak/>
        <w:t>According to the Bar Plot in Fig 6. The family-level bacterial community is dominated by three main families, including</w:t>
      </w:r>
      <w:r w:rsidR="00265BEF" w:rsidRPr="00A95499">
        <w:rPr>
          <w:rFonts w:ascii="Times New Roman" w:hAnsi="Times New Roman" w:cs="Times New Roman"/>
          <w:sz w:val="24"/>
          <w:szCs w:val="24"/>
        </w:rPr>
        <w:t xml:space="preserve"> </w:t>
      </w:r>
      <w:proofErr w:type="spellStart"/>
      <w:r w:rsidR="00265BEF" w:rsidRPr="00A95499">
        <w:rPr>
          <w:rFonts w:ascii="Times New Roman" w:hAnsi="Times New Roman" w:cs="Times New Roman"/>
          <w:i/>
          <w:iCs/>
          <w:sz w:val="24"/>
          <w:szCs w:val="24"/>
        </w:rPr>
        <w:t>Prevotellaceae</w:t>
      </w:r>
      <w:proofErr w:type="spellEnd"/>
      <w:r w:rsidR="00265BEF" w:rsidRPr="00A95499">
        <w:rPr>
          <w:rFonts w:ascii="Times New Roman" w:hAnsi="Times New Roman" w:cs="Times New Roman"/>
          <w:i/>
          <w:iCs/>
          <w:sz w:val="24"/>
          <w:szCs w:val="24"/>
        </w:rPr>
        <w:t xml:space="preserve">, </w:t>
      </w:r>
      <w:proofErr w:type="spellStart"/>
      <w:r w:rsidR="00265BEF" w:rsidRPr="00A95499">
        <w:rPr>
          <w:rFonts w:ascii="Times New Roman" w:hAnsi="Times New Roman" w:cs="Times New Roman"/>
          <w:i/>
          <w:iCs/>
          <w:sz w:val="24"/>
          <w:szCs w:val="24"/>
        </w:rPr>
        <w:t>Lachnospiraceae</w:t>
      </w:r>
      <w:proofErr w:type="spellEnd"/>
      <w:r w:rsidR="00265BEF" w:rsidRPr="00A95499">
        <w:rPr>
          <w:rFonts w:ascii="Times New Roman" w:hAnsi="Times New Roman" w:cs="Times New Roman"/>
          <w:i/>
          <w:iCs/>
          <w:sz w:val="24"/>
          <w:szCs w:val="24"/>
        </w:rPr>
        <w:t xml:space="preserve">, </w:t>
      </w:r>
      <w:r w:rsidR="00265BEF" w:rsidRPr="00A95499">
        <w:rPr>
          <w:rFonts w:ascii="Times New Roman" w:hAnsi="Times New Roman" w:cs="Times New Roman"/>
          <w:sz w:val="24"/>
          <w:szCs w:val="24"/>
        </w:rPr>
        <w:t xml:space="preserve">dan </w:t>
      </w:r>
      <w:proofErr w:type="spellStart"/>
      <w:r w:rsidR="00265BEF" w:rsidRPr="00A95499">
        <w:rPr>
          <w:rFonts w:ascii="Times New Roman" w:hAnsi="Times New Roman" w:cs="Times New Roman"/>
          <w:i/>
          <w:iCs/>
          <w:sz w:val="24"/>
          <w:szCs w:val="24"/>
        </w:rPr>
        <w:t>Rikenellaceae</w:t>
      </w:r>
      <w:proofErr w:type="spellEnd"/>
      <w:r w:rsidR="00265BEF" w:rsidRPr="00A95499">
        <w:rPr>
          <w:rFonts w:ascii="Times New Roman" w:hAnsi="Times New Roman" w:cs="Times New Roman"/>
          <w:i/>
          <w:iCs/>
          <w:sz w:val="24"/>
          <w:szCs w:val="24"/>
        </w:rPr>
        <w:t>.</w:t>
      </w:r>
      <w:r w:rsidRPr="00A95499">
        <w:rPr>
          <w:rFonts w:ascii="Times New Roman" w:hAnsi="Times New Roman" w:cs="Times New Roman"/>
          <w:i/>
          <w:iCs/>
          <w:sz w:val="24"/>
          <w:szCs w:val="24"/>
        </w:rPr>
        <w:t xml:space="preserve"> </w:t>
      </w:r>
      <w:r w:rsidR="00A95499" w:rsidRPr="00A95499">
        <w:rPr>
          <w:rFonts w:ascii="Times New Roman" w:hAnsi="Times New Roman" w:cs="Times New Roman"/>
          <w:sz w:val="24"/>
          <w:szCs w:val="24"/>
        </w:rPr>
        <w:t xml:space="preserve">This is also in line with </w:t>
      </w:r>
      <w:r w:rsidR="00265BEF" w:rsidRPr="00A95499">
        <w:rPr>
          <w:rFonts w:ascii="Times New Roman" w:hAnsi="Times New Roman" w:cs="Times New Roman"/>
          <w:sz w:val="24"/>
          <w:szCs w:val="24"/>
        </w:rPr>
        <w:t>Fig</w:t>
      </w:r>
      <w:r w:rsidR="00A95499" w:rsidRPr="00A95499">
        <w:rPr>
          <w:rFonts w:ascii="Times New Roman" w:hAnsi="Times New Roman" w:cs="Times New Roman"/>
          <w:sz w:val="24"/>
          <w:szCs w:val="24"/>
        </w:rPr>
        <w:t xml:space="preserve">. 7 which shows that the </w:t>
      </w:r>
      <w:proofErr w:type="spellStart"/>
      <w:r w:rsidR="00265BEF" w:rsidRPr="00A95499">
        <w:rPr>
          <w:rFonts w:ascii="Times New Roman" w:hAnsi="Times New Roman" w:cs="Times New Roman"/>
          <w:i/>
          <w:iCs/>
          <w:sz w:val="24"/>
          <w:szCs w:val="24"/>
        </w:rPr>
        <w:t>Prevotellaceae</w:t>
      </w:r>
      <w:proofErr w:type="spellEnd"/>
      <w:r w:rsidR="00265BEF" w:rsidRPr="00A95499">
        <w:rPr>
          <w:rFonts w:ascii="Times New Roman" w:hAnsi="Times New Roman" w:cs="Times New Roman"/>
          <w:i/>
          <w:iCs/>
          <w:sz w:val="24"/>
          <w:szCs w:val="24"/>
        </w:rPr>
        <w:t xml:space="preserve"> </w:t>
      </w:r>
      <w:r w:rsidR="00A95499" w:rsidRPr="00A95499">
        <w:rPr>
          <w:rFonts w:ascii="Times New Roman" w:hAnsi="Times New Roman" w:cs="Times New Roman"/>
          <w:sz w:val="24"/>
          <w:szCs w:val="24"/>
        </w:rPr>
        <w:t xml:space="preserve">family had the highest value at T0 an d experienced a </w:t>
      </w:r>
      <w:proofErr w:type="spellStart"/>
      <w:r w:rsidR="00A95499" w:rsidRPr="00A95499">
        <w:rPr>
          <w:rFonts w:ascii="Times New Roman" w:hAnsi="Times New Roman" w:cs="Times New Roman"/>
          <w:sz w:val="24"/>
          <w:szCs w:val="24"/>
        </w:rPr>
        <w:t>decrase</w:t>
      </w:r>
      <w:proofErr w:type="spellEnd"/>
      <w:r w:rsidR="00A95499" w:rsidRPr="00A95499">
        <w:rPr>
          <w:rFonts w:ascii="Times New Roman" w:hAnsi="Times New Roman" w:cs="Times New Roman"/>
          <w:sz w:val="24"/>
          <w:szCs w:val="24"/>
        </w:rPr>
        <w:t xml:space="preserve"> in </w:t>
      </w:r>
      <w:proofErr w:type="spellStart"/>
      <w:r w:rsidR="00A95499" w:rsidRPr="00A95499">
        <w:rPr>
          <w:rFonts w:ascii="Times New Roman" w:hAnsi="Times New Roman" w:cs="Times New Roman"/>
          <w:sz w:val="24"/>
          <w:szCs w:val="24"/>
        </w:rPr>
        <w:t>colour</w:t>
      </w:r>
      <w:proofErr w:type="spellEnd"/>
      <w:r w:rsidR="00A95499" w:rsidRPr="00A95499">
        <w:rPr>
          <w:rFonts w:ascii="Times New Roman" w:hAnsi="Times New Roman" w:cs="Times New Roman"/>
          <w:sz w:val="24"/>
          <w:szCs w:val="24"/>
        </w:rPr>
        <w:t xml:space="preserve"> at T1 and T2. Meanwhile, there is a relatively high increase in cellulolytic bacterial </w:t>
      </w:r>
      <w:r w:rsidR="00A95499" w:rsidRPr="005E7DF9">
        <w:rPr>
          <w:rFonts w:ascii="Times New Roman" w:hAnsi="Times New Roman" w:cs="Times New Roman"/>
          <w:sz w:val="24"/>
          <w:szCs w:val="24"/>
        </w:rPr>
        <w:t xml:space="preserve">families such as </w:t>
      </w:r>
      <w:proofErr w:type="spellStart"/>
      <w:r w:rsidR="00F95A5F" w:rsidRPr="005E7DF9">
        <w:rPr>
          <w:rFonts w:ascii="Times New Roman" w:hAnsi="Times New Roman" w:cs="Times New Roman"/>
          <w:i/>
          <w:iCs/>
          <w:sz w:val="24"/>
          <w:szCs w:val="24"/>
        </w:rPr>
        <w:t>Ruminococcaceae</w:t>
      </w:r>
      <w:proofErr w:type="spellEnd"/>
      <w:r w:rsidR="00F95A5F" w:rsidRPr="005E7DF9">
        <w:rPr>
          <w:rFonts w:ascii="Times New Roman" w:hAnsi="Times New Roman" w:cs="Times New Roman"/>
          <w:i/>
          <w:iCs/>
          <w:sz w:val="24"/>
          <w:szCs w:val="24"/>
        </w:rPr>
        <w:t xml:space="preserve"> </w:t>
      </w:r>
      <w:r w:rsidR="00F95A5F" w:rsidRPr="005E7DF9">
        <w:rPr>
          <w:rFonts w:ascii="Times New Roman" w:hAnsi="Times New Roman" w:cs="Times New Roman"/>
          <w:sz w:val="24"/>
          <w:szCs w:val="24"/>
        </w:rPr>
        <w:t xml:space="preserve">and </w:t>
      </w:r>
      <w:proofErr w:type="spellStart"/>
      <w:r w:rsidR="00F95A5F" w:rsidRPr="005E7DF9">
        <w:rPr>
          <w:rFonts w:ascii="Times New Roman" w:hAnsi="Times New Roman" w:cs="Times New Roman"/>
          <w:i/>
          <w:iCs/>
          <w:sz w:val="24"/>
          <w:szCs w:val="24"/>
        </w:rPr>
        <w:t>Oscillospiraceae</w:t>
      </w:r>
      <w:proofErr w:type="spellEnd"/>
      <w:r w:rsidR="00F95A5F" w:rsidRPr="005E7DF9">
        <w:rPr>
          <w:rFonts w:ascii="Times New Roman" w:hAnsi="Times New Roman" w:cs="Times New Roman"/>
          <w:i/>
          <w:iCs/>
          <w:sz w:val="24"/>
          <w:szCs w:val="24"/>
        </w:rPr>
        <w:t xml:space="preserve"> </w:t>
      </w:r>
      <w:r w:rsidR="00A95499" w:rsidRPr="005E7DF9">
        <w:rPr>
          <w:rFonts w:ascii="Times New Roman" w:hAnsi="Times New Roman" w:cs="Times New Roman"/>
          <w:sz w:val="24"/>
          <w:szCs w:val="24"/>
        </w:rPr>
        <w:t>at</w:t>
      </w:r>
      <w:r w:rsidR="00F95A5F" w:rsidRPr="005E7DF9">
        <w:rPr>
          <w:rFonts w:ascii="Times New Roman" w:hAnsi="Times New Roman" w:cs="Times New Roman"/>
          <w:sz w:val="24"/>
          <w:szCs w:val="24"/>
        </w:rPr>
        <w:t xml:space="preserve"> T1 </w:t>
      </w:r>
      <w:r w:rsidR="00A95499" w:rsidRPr="005E7DF9">
        <w:rPr>
          <w:rFonts w:ascii="Times New Roman" w:hAnsi="Times New Roman" w:cs="Times New Roman"/>
          <w:sz w:val="24"/>
          <w:szCs w:val="24"/>
        </w:rPr>
        <w:t>and</w:t>
      </w:r>
      <w:r w:rsidR="00F95A5F" w:rsidRPr="005E7DF9">
        <w:rPr>
          <w:rFonts w:ascii="Times New Roman" w:hAnsi="Times New Roman" w:cs="Times New Roman"/>
          <w:sz w:val="24"/>
          <w:szCs w:val="24"/>
        </w:rPr>
        <w:t xml:space="preserve"> T2. </w:t>
      </w:r>
      <w:r w:rsidR="005E7DF9" w:rsidRPr="005E7DF9">
        <w:rPr>
          <w:rFonts w:ascii="Times New Roman" w:hAnsi="Times New Roman" w:cs="Times New Roman"/>
          <w:sz w:val="24"/>
          <w:szCs w:val="24"/>
        </w:rPr>
        <w:t xml:space="preserve">However, a very obvious finding at T0 is the appearance </w:t>
      </w:r>
      <w:proofErr w:type="spellStart"/>
      <w:r w:rsidR="00265BEF" w:rsidRPr="005E7DF9">
        <w:rPr>
          <w:rFonts w:ascii="Times New Roman" w:hAnsi="Times New Roman" w:cs="Times New Roman"/>
          <w:i/>
          <w:iCs/>
          <w:sz w:val="24"/>
          <w:szCs w:val="24"/>
        </w:rPr>
        <w:t>Incertae</w:t>
      </w:r>
      <w:proofErr w:type="spellEnd"/>
      <w:r w:rsidR="00265BEF" w:rsidRPr="005E7DF9">
        <w:rPr>
          <w:rFonts w:ascii="Times New Roman" w:hAnsi="Times New Roman" w:cs="Times New Roman"/>
          <w:i/>
          <w:iCs/>
          <w:sz w:val="24"/>
          <w:szCs w:val="24"/>
        </w:rPr>
        <w:t xml:space="preserve"> Sedis</w:t>
      </w:r>
      <w:r w:rsidR="005E7DF9" w:rsidRPr="005E7DF9">
        <w:rPr>
          <w:rFonts w:ascii="Times New Roman" w:hAnsi="Times New Roman" w:cs="Times New Roman"/>
          <w:sz w:val="24"/>
          <w:szCs w:val="24"/>
        </w:rPr>
        <w:t xml:space="preserve">, which doesn’t appear at T1 and T2. This difference indicates that supplementation with </w:t>
      </w:r>
      <w:r w:rsidR="00265BEF" w:rsidRPr="005E7DF9">
        <w:rPr>
          <w:rFonts w:ascii="Times New Roman" w:hAnsi="Times New Roman" w:cs="Times New Roman"/>
          <w:i/>
          <w:iCs/>
          <w:sz w:val="24"/>
          <w:szCs w:val="24"/>
        </w:rPr>
        <w:t xml:space="preserve">Terminalia </w:t>
      </w:r>
      <w:proofErr w:type="spellStart"/>
      <w:r w:rsidR="00265BEF" w:rsidRPr="005E7DF9">
        <w:rPr>
          <w:rFonts w:ascii="Times New Roman" w:hAnsi="Times New Roman" w:cs="Times New Roman"/>
          <w:i/>
          <w:iCs/>
          <w:sz w:val="24"/>
          <w:szCs w:val="24"/>
        </w:rPr>
        <w:t>Catappa</w:t>
      </w:r>
      <w:proofErr w:type="spellEnd"/>
      <w:r w:rsidR="00265BEF" w:rsidRPr="005E7DF9">
        <w:rPr>
          <w:rFonts w:ascii="Times New Roman" w:hAnsi="Times New Roman" w:cs="Times New Roman"/>
          <w:i/>
          <w:iCs/>
          <w:sz w:val="24"/>
          <w:szCs w:val="24"/>
        </w:rPr>
        <w:t xml:space="preserve"> </w:t>
      </w:r>
      <w:r w:rsidR="00265BEF" w:rsidRPr="005E7DF9">
        <w:rPr>
          <w:rFonts w:ascii="Times New Roman" w:hAnsi="Times New Roman" w:cs="Times New Roman"/>
          <w:sz w:val="24"/>
          <w:szCs w:val="24"/>
        </w:rPr>
        <w:t xml:space="preserve">L. </w:t>
      </w:r>
      <w:r w:rsidR="005E7DF9" w:rsidRPr="005E7DF9">
        <w:rPr>
          <w:rFonts w:ascii="Times New Roman" w:hAnsi="Times New Roman" w:cs="Times New Roman"/>
          <w:sz w:val="24"/>
          <w:szCs w:val="24"/>
        </w:rPr>
        <w:t>leaf extract can modulate the rumen bacterial community.</w:t>
      </w:r>
    </w:p>
    <w:p w14:paraId="72CAFFAB" w14:textId="77777777" w:rsidR="00265BEF" w:rsidRPr="00D63610" w:rsidRDefault="00265BEF" w:rsidP="00265BEF">
      <w:pPr>
        <w:pStyle w:val="ListParagraph"/>
        <w:spacing w:line="360" w:lineRule="auto"/>
        <w:ind w:left="426"/>
        <w:jc w:val="center"/>
        <w:rPr>
          <w:rFonts w:ascii="Times New Roman" w:hAnsi="Times New Roman" w:cs="Times New Roman"/>
          <w:b/>
          <w:bCs/>
          <w:sz w:val="24"/>
          <w:szCs w:val="24"/>
        </w:rPr>
      </w:pPr>
      <w:r w:rsidRPr="00D63610">
        <w:rPr>
          <w:rFonts w:ascii="Times New Roman" w:hAnsi="Times New Roman" w:cs="Times New Roman"/>
          <w:b/>
          <w:bCs/>
          <w:noProof/>
          <w:sz w:val="24"/>
          <w:szCs w:val="24"/>
        </w:rPr>
        <w:drawing>
          <wp:inline distT="0" distB="0" distL="0" distR="0" wp14:anchorId="761BBD2C" wp14:editId="5D2BEABF">
            <wp:extent cx="3692621" cy="6154220"/>
            <wp:effectExtent l="0" t="0" r="0" b="0"/>
            <wp:docPr id="1818362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62128" name="Picture 1818362128"/>
                    <pic:cNvPicPr/>
                  </pic:nvPicPr>
                  <pic:blipFill>
                    <a:blip r:embed="rId13">
                      <a:extLst>
                        <a:ext uri="{28A0092B-C50C-407E-A947-70E740481C1C}">
                          <a14:useLocalDpi xmlns:a14="http://schemas.microsoft.com/office/drawing/2010/main" val="0"/>
                        </a:ext>
                      </a:extLst>
                    </a:blip>
                    <a:stretch>
                      <a:fillRect/>
                    </a:stretch>
                  </pic:blipFill>
                  <pic:spPr>
                    <a:xfrm>
                      <a:off x="0" y="0"/>
                      <a:ext cx="3696188" cy="6160165"/>
                    </a:xfrm>
                    <a:prstGeom prst="rect">
                      <a:avLst/>
                    </a:prstGeom>
                  </pic:spPr>
                </pic:pic>
              </a:graphicData>
            </a:graphic>
          </wp:inline>
        </w:drawing>
      </w:r>
    </w:p>
    <w:p w14:paraId="71CEF831" w14:textId="4E2CB7D2" w:rsidR="00265BEF" w:rsidRDefault="00265BEF" w:rsidP="00FE2B87">
      <w:pPr>
        <w:pStyle w:val="ListParagraph"/>
        <w:spacing w:line="360" w:lineRule="auto"/>
        <w:ind w:left="426"/>
        <w:jc w:val="center"/>
        <w:rPr>
          <w:rFonts w:ascii="Times New Roman" w:hAnsi="Times New Roman" w:cs="Times New Roman"/>
          <w:sz w:val="24"/>
          <w:szCs w:val="24"/>
        </w:rPr>
      </w:pPr>
      <w:r w:rsidRPr="00D63610">
        <w:rPr>
          <w:rFonts w:ascii="Times New Roman" w:hAnsi="Times New Roman" w:cs="Times New Roman"/>
          <w:sz w:val="24"/>
          <w:szCs w:val="24"/>
        </w:rPr>
        <w:t>Fig 7. Heatmap</w:t>
      </w:r>
    </w:p>
    <w:p w14:paraId="172886FC" w14:textId="77777777" w:rsidR="00E95143" w:rsidRPr="00FE2B87" w:rsidRDefault="00E95143" w:rsidP="00FE2B87">
      <w:pPr>
        <w:pStyle w:val="ListParagraph"/>
        <w:spacing w:line="360" w:lineRule="auto"/>
        <w:ind w:left="426"/>
        <w:jc w:val="center"/>
        <w:rPr>
          <w:rFonts w:ascii="Times New Roman" w:hAnsi="Times New Roman" w:cs="Times New Roman"/>
          <w:sz w:val="24"/>
          <w:szCs w:val="24"/>
        </w:rPr>
      </w:pPr>
    </w:p>
    <w:p w14:paraId="2C147673" w14:textId="77777777" w:rsidR="00265BEF" w:rsidRPr="00C74D62" w:rsidRDefault="00265BEF" w:rsidP="00265BEF">
      <w:pPr>
        <w:pStyle w:val="ListParagraph"/>
        <w:numPr>
          <w:ilvl w:val="0"/>
          <w:numId w:val="1"/>
        </w:numPr>
        <w:spacing w:line="360" w:lineRule="auto"/>
        <w:ind w:left="426" w:hanging="426"/>
        <w:rPr>
          <w:rFonts w:ascii="Times New Roman" w:hAnsi="Times New Roman" w:cs="Times New Roman"/>
          <w:b/>
          <w:bCs/>
          <w:sz w:val="24"/>
          <w:szCs w:val="24"/>
        </w:rPr>
      </w:pPr>
      <w:r w:rsidRPr="00C74D62">
        <w:rPr>
          <w:rFonts w:ascii="Times New Roman" w:hAnsi="Times New Roman" w:cs="Times New Roman"/>
          <w:b/>
          <w:bCs/>
          <w:sz w:val="24"/>
          <w:szCs w:val="24"/>
        </w:rPr>
        <w:lastRenderedPageBreak/>
        <w:t>DISCUSSION</w:t>
      </w:r>
    </w:p>
    <w:p w14:paraId="32575A8A" w14:textId="17013E65" w:rsidR="00CD5303" w:rsidRDefault="00CD5303" w:rsidP="00D345A8">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The result of the study show</w:t>
      </w:r>
      <w:r w:rsidR="008349D7">
        <w:rPr>
          <w:rFonts w:ascii="Times New Roman" w:hAnsi="Times New Roman" w:cs="Times New Roman"/>
          <w:sz w:val="24"/>
          <w:szCs w:val="24"/>
        </w:rPr>
        <w:t>s</w:t>
      </w:r>
      <w:r>
        <w:rPr>
          <w:rFonts w:ascii="Times New Roman" w:hAnsi="Times New Roman" w:cs="Times New Roman"/>
          <w:sz w:val="24"/>
          <w:szCs w:val="24"/>
        </w:rPr>
        <w:t xml:space="preserve"> that the DADA2 pipeline used in the sequencing quality control stage produced data with a sufficient number of high-quality reads up to the non-chimera stage in three treatments. This consistency in the number of reads is a requirement for valid microbial </w:t>
      </w:r>
      <w:r w:rsidR="008349D7">
        <w:rPr>
          <w:rFonts w:ascii="Times New Roman" w:hAnsi="Times New Roman" w:cs="Times New Roman"/>
          <w:sz w:val="24"/>
          <w:szCs w:val="24"/>
        </w:rPr>
        <w:t xml:space="preserve">diversity estimates. This requirement is because if the number of reads is too low, it can potentially produce unstable or biased diversity estimates. Alpha diversity </w:t>
      </w:r>
      <w:proofErr w:type="spellStart"/>
      <w:r w:rsidR="008349D7">
        <w:rPr>
          <w:rFonts w:ascii="Times New Roman" w:hAnsi="Times New Roman" w:cs="Times New Roman"/>
          <w:sz w:val="24"/>
          <w:szCs w:val="24"/>
        </w:rPr>
        <w:t>analysisi</w:t>
      </w:r>
      <w:proofErr w:type="spellEnd"/>
      <w:r w:rsidR="008349D7">
        <w:rPr>
          <w:rFonts w:ascii="Times New Roman" w:hAnsi="Times New Roman" w:cs="Times New Roman"/>
          <w:sz w:val="24"/>
          <w:szCs w:val="24"/>
        </w:rPr>
        <w:t xml:space="preserve"> </w:t>
      </w:r>
      <w:proofErr w:type="spellStart"/>
      <w:r w:rsidR="008349D7">
        <w:rPr>
          <w:rFonts w:ascii="Times New Roman" w:hAnsi="Times New Roman" w:cs="Times New Roman"/>
          <w:sz w:val="24"/>
          <w:szCs w:val="24"/>
        </w:rPr>
        <w:t>shiwed</w:t>
      </w:r>
      <w:proofErr w:type="spellEnd"/>
      <w:r w:rsidR="008349D7">
        <w:rPr>
          <w:rFonts w:ascii="Times New Roman" w:hAnsi="Times New Roman" w:cs="Times New Roman"/>
          <w:sz w:val="24"/>
          <w:szCs w:val="24"/>
        </w:rPr>
        <w:t xml:space="preserve"> that supplementation with </w:t>
      </w:r>
      <w:r w:rsidR="008349D7">
        <w:rPr>
          <w:rFonts w:ascii="Times New Roman" w:hAnsi="Times New Roman" w:cs="Times New Roman"/>
          <w:i/>
          <w:iCs/>
          <w:sz w:val="24"/>
          <w:szCs w:val="24"/>
        </w:rPr>
        <w:t xml:space="preserve">Terminalia </w:t>
      </w:r>
      <w:proofErr w:type="spellStart"/>
      <w:r w:rsidR="008349D7">
        <w:rPr>
          <w:rFonts w:ascii="Times New Roman" w:hAnsi="Times New Roman" w:cs="Times New Roman"/>
          <w:i/>
          <w:iCs/>
          <w:sz w:val="24"/>
          <w:szCs w:val="24"/>
        </w:rPr>
        <w:t>catappa</w:t>
      </w:r>
      <w:proofErr w:type="spellEnd"/>
      <w:r w:rsidR="008349D7">
        <w:rPr>
          <w:rFonts w:ascii="Times New Roman" w:hAnsi="Times New Roman" w:cs="Times New Roman"/>
          <w:i/>
          <w:iCs/>
          <w:sz w:val="24"/>
          <w:szCs w:val="24"/>
        </w:rPr>
        <w:t xml:space="preserve"> </w:t>
      </w:r>
      <w:r w:rsidR="008349D7">
        <w:rPr>
          <w:rFonts w:ascii="Times New Roman" w:hAnsi="Times New Roman" w:cs="Times New Roman"/>
          <w:sz w:val="24"/>
          <w:szCs w:val="24"/>
        </w:rPr>
        <w:t xml:space="preserve">L. leaf extract was able to modulate the rumen ecosystem. T2 treatment with </w:t>
      </w:r>
      <w:proofErr w:type="spellStart"/>
      <w:r w:rsidR="008349D7">
        <w:rPr>
          <w:rFonts w:ascii="Times New Roman" w:hAnsi="Times New Roman" w:cs="Times New Roman"/>
          <w:sz w:val="24"/>
          <w:szCs w:val="24"/>
        </w:rPr>
        <w:t>leveel</w:t>
      </w:r>
      <w:proofErr w:type="spellEnd"/>
      <w:r w:rsidR="008349D7">
        <w:rPr>
          <w:rFonts w:ascii="Times New Roman" w:hAnsi="Times New Roman" w:cs="Times New Roman"/>
          <w:sz w:val="24"/>
          <w:szCs w:val="24"/>
        </w:rPr>
        <w:t xml:space="preserve"> 2% was consistently able to produce the highest species richness and diversity between T0 and T1. </w:t>
      </w:r>
      <w:r w:rsidR="00B85D67">
        <w:rPr>
          <w:rFonts w:ascii="Times New Roman" w:hAnsi="Times New Roman" w:cs="Times New Roman"/>
          <w:sz w:val="24"/>
          <w:szCs w:val="24"/>
        </w:rPr>
        <w:t xml:space="preserve">High species richness was indicated by Observed, Chao1, and ACE, while high diversity was indicated by Shannon and </w:t>
      </w:r>
      <w:proofErr w:type="spellStart"/>
      <w:r w:rsidR="00B85D67">
        <w:rPr>
          <w:rFonts w:ascii="Times New Roman" w:hAnsi="Times New Roman" w:cs="Times New Roman"/>
          <w:sz w:val="24"/>
          <w:szCs w:val="24"/>
        </w:rPr>
        <w:t>InvSimpson</w:t>
      </w:r>
      <w:proofErr w:type="spellEnd"/>
      <w:r w:rsidR="00B85D67">
        <w:rPr>
          <w:rFonts w:ascii="Times New Roman" w:hAnsi="Times New Roman" w:cs="Times New Roman"/>
          <w:sz w:val="24"/>
          <w:szCs w:val="24"/>
        </w:rPr>
        <w:t xml:space="preserve"> in T2, which a more diverse community. This </w:t>
      </w:r>
      <w:proofErr w:type="spellStart"/>
      <w:r w:rsidR="00B85D67">
        <w:rPr>
          <w:rFonts w:ascii="Times New Roman" w:hAnsi="Times New Roman" w:cs="Times New Roman"/>
          <w:sz w:val="24"/>
          <w:szCs w:val="24"/>
        </w:rPr>
        <w:t>incrased</w:t>
      </w:r>
      <w:proofErr w:type="spellEnd"/>
      <w:r w:rsidR="00B85D67">
        <w:rPr>
          <w:rFonts w:ascii="Times New Roman" w:hAnsi="Times New Roman" w:cs="Times New Roman"/>
          <w:sz w:val="24"/>
          <w:szCs w:val="24"/>
        </w:rPr>
        <w:t xml:space="preserve"> diversity is related to better ecosystem stability and sustainability, which has the potentially to improve goat’s adaptation to feed changes or when experiencing stress (Guo </w:t>
      </w:r>
      <w:r w:rsidR="00B85D67">
        <w:rPr>
          <w:rFonts w:ascii="Times New Roman" w:hAnsi="Times New Roman" w:cs="Times New Roman"/>
          <w:i/>
          <w:iCs/>
          <w:sz w:val="24"/>
          <w:szCs w:val="24"/>
        </w:rPr>
        <w:t xml:space="preserve">et al., </w:t>
      </w:r>
      <w:r w:rsidR="00B85D67">
        <w:rPr>
          <w:rFonts w:ascii="Times New Roman" w:hAnsi="Times New Roman" w:cs="Times New Roman"/>
          <w:sz w:val="24"/>
          <w:szCs w:val="24"/>
        </w:rPr>
        <w:t>2022).</w:t>
      </w:r>
      <w:r w:rsidR="007F4168">
        <w:rPr>
          <w:rFonts w:ascii="Times New Roman" w:hAnsi="Times New Roman" w:cs="Times New Roman"/>
          <w:sz w:val="24"/>
          <w:szCs w:val="24"/>
        </w:rPr>
        <w:t xml:space="preserve"> This was thought to be due to the phytochemical compounds tannins and flavonoids contained in </w:t>
      </w:r>
      <w:r w:rsidR="007F4168">
        <w:rPr>
          <w:rFonts w:ascii="Times New Roman" w:hAnsi="Times New Roman" w:cs="Times New Roman"/>
          <w:i/>
          <w:iCs/>
          <w:sz w:val="24"/>
          <w:szCs w:val="24"/>
        </w:rPr>
        <w:t xml:space="preserve">Terminalia </w:t>
      </w:r>
      <w:proofErr w:type="spellStart"/>
      <w:r w:rsidR="007F4168">
        <w:rPr>
          <w:rFonts w:ascii="Times New Roman" w:hAnsi="Times New Roman" w:cs="Times New Roman"/>
          <w:i/>
          <w:iCs/>
          <w:sz w:val="24"/>
          <w:szCs w:val="24"/>
        </w:rPr>
        <w:t>catappa</w:t>
      </w:r>
      <w:proofErr w:type="spellEnd"/>
      <w:r w:rsidR="007F4168">
        <w:rPr>
          <w:rFonts w:ascii="Times New Roman" w:hAnsi="Times New Roman" w:cs="Times New Roman"/>
          <w:i/>
          <w:iCs/>
          <w:sz w:val="24"/>
          <w:szCs w:val="24"/>
        </w:rPr>
        <w:t xml:space="preserve"> </w:t>
      </w:r>
      <w:r w:rsidR="007F4168">
        <w:rPr>
          <w:rFonts w:ascii="Times New Roman" w:hAnsi="Times New Roman" w:cs="Times New Roman"/>
          <w:sz w:val="24"/>
          <w:szCs w:val="24"/>
        </w:rPr>
        <w:t xml:space="preserve">L. extract, resulting in less efficient bacterial </w:t>
      </w:r>
      <w:proofErr w:type="spellStart"/>
      <w:r w:rsidR="007F4168">
        <w:rPr>
          <w:rFonts w:ascii="Times New Roman" w:hAnsi="Times New Roman" w:cs="Times New Roman"/>
          <w:sz w:val="24"/>
          <w:szCs w:val="24"/>
        </w:rPr>
        <w:t>supperssion</w:t>
      </w:r>
      <w:proofErr w:type="spellEnd"/>
      <w:r w:rsidR="007F4168">
        <w:rPr>
          <w:rFonts w:ascii="Times New Roman" w:hAnsi="Times New Roman" w:cs="Times New Roman"/>
          <w:sz w:val="24"/>
          <w:szCs w:val="24"/>
        </w:rPr>
        <w:t xml:space="preserve">. This is in agreement with the findings of </w:t>
      </w:r>
      <w:proofErr w:type="spellStart"/>
      <w:r w:rsidR="007F4168">
        <w:rPr>
          <w:rFonts w:ascii="Times New Roman" w:hAnsi="Times New Roman" w:cs="Times New Roman"/>
          <w:sz w:val="24"/>
          <w:szCs w:val="24"/>
        </w:rPr>
        <w:t>Taganna</w:t>
      </w:r>
      <w:proofErr w:type="spellEnd"/>
      <w:r w:rsidR="007F4168">
        <w:rPr>
          <w:rFonts w:ascii="Times New Roman" w:hAnsi="Times New Roman" w:cs="Times New Roman"/>
          <w:sz w:val="24"/>
          <w:szCs w:val="24"/>
        </w:rPr>
        <w:t xml:space="preserve"> </w:t>
      </w:r>
      <w:r w:rsidR="007F4168">
        <w:rPr>
          <w:rFonts w:ascii="Times New Roman" w:hAnsi="Times New Roman" w:cs="Times New Roman"/>
          <w:i/>
          <w:iCs/>
          <w:sz w:val="24"/>
          <w:szCs w:val="24"/>
        </w:rPr>
        <w:t xml:space="preserve">et al. </w:t>
      </w:r>
      <w:r w:rsidR="007F4168">
        <w:rPr>
          <w:rFonts w:ascii="Times New Roman" w:hAnsi="Times New Roman" w:cs="Times New Roman"/>
          <w:sz w:val="24"/>
          <w:szCs w:val="24"/>
        </w:rPr>
        <w:t xml:space="preserve">(2011) and Allyn </w:t>
      </w:r>
      <w:r w:rsidR="007F4168">
        <w:rPr>
          <w:rFonts w:ascii="Times New Roman" w:hAnsi="Times New Roman" w:cs="Times New Roman"/>
          <w:i/>
          <w:iCs/>
          <w:sz w:val="24"/>
          <w:szCs w:val="24"/>
        </w:rPr>
        <w:t xml:space="preserve">et al. </w:t>
      </w:r>
      <w:r w:rsidR="007F4168">
        <w:rPr>
          <w:rFonts w:ascii="Times New Roman" w:hAnsi="Times New Roman" w:cs="Times New Roman"/>
          <w:sz w:val="24"/>
          <w:szCs w:val="24"/>
        </w:rPr>
        <w:t xml:space="preserve">(2018) that </w:t>
      </w:r>
      <w:r w:rsidR="007F4168">
        <w:rPr>
          <w:rFonts w:ascii="Times New Roman" w:hAnsi="Times New Roman" w:cs="Times New Roman"/>
          <w:i/>
          <w:iCs/>
          <w:sz w:val="24"/>
          <w:szCs w:val="24"/>
        </w:rPr>
        <w:t xml:space="preserve">Terminalia </w:t>
      </w:r>
      <w:proofErr w:type="spellStart"/>
      <w:r w:rsidR="007F4168">
        <w:rPr>
          <w:rFonts w:ascii="Times New Roman" w:hAnsi="Times New Roman" w:cs="Times New Roman"/>
          <w:i/>
          <w:iCs/>
          <w:sz w:val="24"/>
          <w:szCs w:val="24"/>
        </w:rPr>
        <w:t>catappa</w:t>
      </w:r>
      <w:proofErr w:type="spellEnd"/>
      <w:r w:rsidR="007F4168">
        <w:rPr>
          <w:rFonts w:ascii="Times New Roman" w:hAnsi="Times New Roman" w:cs="Times New Roman"/>
          <w:i/>
          <w:iCs/>
          <w:sz w:val="24"/>
          <w:szCs w:val="24"/>
        </w:rPr>
        <w:t xml:space="preserve"> </w:t>
      </w:r>
      <w:r w:rsidR="007F4168">
        <w:rPr>
          <w:rFonts w:ascii="Times New Roman" w:hAnsi="Times New Roman" w:cs="Times New Roman"/>
          <w:sz w:val="24"/>
          <w:szCs w:val="24"/>
        </w:rPr>
        <w:t xml:space="preserve">L. leaf extract containing phytochemical compounds such as tannins and flavonoids selectively inhibits certain bacteria that are less efficient, and creating an environment that allows other bacterial species to </w:t>
      </w:r>
      <w:proofErr w:type="spellStart"/>
      <w:r w:rsidR="007F4168">
        <w:rPr>
          <w:rFonts w:ascii="Times New Roman" w:hAnsi="Times New Roman" w:cs="Times New Roman"/>
          <w:sz w:val="24"/>
          <w:szCs w:val="24"/>
        </w:rPr>
        <w:t>repoduce</w:t>
      </w:r>
      <w:proofErr w:type="spellEnd"/>
      <w:r w:rsidR="007F4168">
        <w:rPr>
          <w:rFonts w:ascii="Times New Roman" w:hAnsi="Times New Roman" w:cs="Times New Roman"/>
          <w:sz w:val="24"/>
          <w:szCs w:val="24"/>
        </w:rPr>
        <w:t xml:space="preserve"> and potentially produce a more balanced and diverse microbial community.</w:t>
      </w:r>
    </w:p>
    <w:p w14:paraId="239D30F8" w14:textId="450AF579" w:rsidR="00A504A9" w:rsidRPr="00D409BA" w:rsidRDefault="00D409BA" w:rsidP="00D345A8">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Beta diversity analysis shows that supplementation with </w:t>
      </w:r>
      <w:r>
        <w:rPr>
          <w:rFonts w:ascii="Times New Roman" w:hAnsi="Times New Roman" w:cs="Times New Roman"/>
          <w:i/>
          <w:iCs/>
          <w:sz w:val="24"/>
          <w:szCs w:val="24"/>
        </w:rPr>
        <w:t xml:space="preserve">Terminalia </w:t>
      </w:r>
      <w:proofErr w:type="spellStart"/>
      <w:r>
        <w:rPr>
          <w:rFonts w:ascii="Times New Roman" w:hAnsi="Times New Roman" w:cs="Times New Roman"/>
          <w:i/>
          <w:iCs/>
          <w:sz w:val="24"/>
          <w:szCs w:val="24"/>
        </w:rPr>
        <w:t>catappa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leaf extract resulted in a significant in the composition of the bacterial community. This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in line with the results of Ault-Seay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(2022) that beta diversity can be used to measure differences in the composition of bacterial communities between samples affected by feed supplementation. Both </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xml:space="preserve"> plots show that the cluster separations are clearly visible between T0, T1, and T2. This clear separation indicates that the extract is the main factor that </w:t>
      </w:r>
      <w:proofErr w:type="spellStart"/>
      <w:r>
        <w:rPr>
          <w:rFonts w:ascii="Times New Roman" w:hAnsi="Times New Roman" w:cs="Times New Roman"/>
          <w:sz w:val="24"/>
          <w:szCs w:val="24"/>
        </w:rPr>
        <w:t>chages</w:t>
      </w:r>
      <w:proofErr w:type="spellEnd"/>
      <w:r>
        <w:rPr>
          <w:rFonts w:ascii="Times New Roman" w:hAnsi="Times New Roman" w:cs="Times New Roman"/>
          <w:sz w:val="24"/>
          <w:szCs w:val="24"/>
        </w:rPr>
        <w:t xml:space="preserve"> the structure of the rumen bacterial community. This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agreement with the findings of Zhang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(2025) that the use of extracts or additives can </w:t>
      </w:r>
      <w:proofErr w:type="spellStart"/>
      <w:r>
        <w:rPr>
          <w:rFonts w:ascii="Times New Roman" w:hAnsi="Times New Roman" w:cs="Times New Roman"/>
          <w:sz w:val="24"/>
          <w:szCs w:val="24"/>
        </w:rPr>
        <w:t>bee</w:t>
      </w:r>
      <w:proofErr w:type="spellEnd"/>
      <w:r>
        <w:rPr>
          <w:rFonts w:ascii="Times New Roman" w:hAnsi="Times New Roman" w:cs="Times New Roman"/>
          <w:sz w:val="24"/>
          <w:szCs w:val="24"/>
        </w:rPr>
        <w:t xml:space="preserve"> a major factor in changing structure of the rumen bacterial community. The resulting distance shows a different </w:t>
      </w:r>
      <w:proofErr w:type="spellStart"/>
      <w:r>
        <w:rPr>
          <w:rFonts w:ascii="Times New Roman" w:hAnsi="Times New Roman" w:cs="Times New Roman"/>
          <w:sz w:val="24"/>
          <w:szCs w:val="24"/>
        </w:rPr>
        <w:t>communitis</w:t>
      </w:r>
      <w:proofErr w:type="spellEnd"/>
      <w:r>
        <w:rPr>
          <w:rFonts w:ascii="Times New Roman" w:hAnsi="Times New Roman" w:cs="Times New Roman"/>
          <w:sz w:val="24"/>
          <w:szCs w:val="24"/>
        </w:rPr>
        <w:t xml:space="preserve">, conforming that rumen microbial modulation is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-dependent. This finding is in line to Rabee </w:t>
      </w:r>
      <w:r>
        <w:rPr>
          <w:rFonts w:ascii="Times New Roman" w:hAnsi="Times New Roman" w:cs="Times New Roman"/>
          <w:i/>
          <w:iCs/>
          <w:sz w:val="24"/>
          <w:szCs w:val="24"/>
        </w:rPr>
        <w:t xml:space="preserve">et al. </w:t>
      </w:r>
      <w:r>
        <w:rPr>
          <w:rFonts w:ascii="Times New Roman" w:hAnsi="Times New Roman" w:cs="Times New Roman"/>
          <w:sz w:val="24"/>
          <w:szCs w:val="24"/>
        </w:rPr>
        <w:t>(2024) that the phytochemical compound has a role in modulating the rumen by changing the rumen microbial composition, increasing the abundance of beneficial bacteria, and reducing the pathogenic bacteria with the given level.</w:t>
      </w:r>
    </w:p>
    <w:p w14:paraId="1E0F39F7" w14:textId="7E605EE4" w:rsidR="001F2A8B" w:rsidRPr="00BE3A94" w:rsidRDefault="001F2A8B" w:rsidP="00D345A8">
      <w:pPr>
        <w:pStyle w:val="ListParagraph"/>
        <w:spacing w:line="360" w:lineRule="auto"/>
        <w:ind w:left="0" w:firstLine="426"/>
        <w:jc w:val="both"/>
        <w:rPr>
          <w:rFonts w:ascii="Times New Roman" w:hAnsi="Times New Roman" w:cs="Times New Roman"/>
          <w:sz w:val="24"/>
          <w:szCs w:val="24"/>
          <w:highlight w:val="yellow"/>
        </w:rPr>
      </w:pPr>
      <w:r w:rsidRPr="00705F02">
        <w:rPr>
          <w:rFonts w:ascii="Times New Roman" w:hAnsi="Times New Roman" w:cs="Times New Roman"/>
          <w:sz w:val="24"/>
          <w:szCs w:val="24"/>
        </w:rPr>
        <w:t xml:space="preserve">The shift in community composition in Beta Diversity is consistent with the relative abundance changes in the bacterial families that dominate. The family or communities are </w:t>
      </w:r>
      <w:r w:rsidRPr="00705F02">
        <w:rPr>
          <w:rFonts w:ascii="Times New Roman" w:hAnsi="Times New Roman" w:cs="Times New Roman"/>
          <w:sz w:val="24"/>
          <w:szCs w:val="24"/>
        </w:rPr>
        <w:lastRenderedPageBreak/>
        <w:t xml:space="preserve">dominated by the </w:t>
      </w:r>
      <w:proofErr w:type="spellStart"/>
      <w:r w:rsidRPr="001F2A8B">
        <w:rPr>
          <w:rFonts w:ascii="Times New Roman" w:hAnsi="Times New Roman" w:cs="Times New Roman"/>
          <w:i/>
          <w:iCs/>
          <w:sz w:val="24"/>
          <w:szCs w:val="24"/>
        </w:rPr>
        <w:t>Prevotellaceae</w:t>
      </w:r>
      <w:proofErr w:type="spellEnd"/>
      <w:r w:rsidRPr="00705F02">
        <w:rPr>
          <w:rFonts w:ascii="Times New Roman" w:hAnsi="Times New Roman" w:cs="Times New Roman"/>
          <w:sz w:val="24"/>
          <w:szCs w:val="24"/>
        </w:rPr>
        <w:t xml:space="preserve"> family in all treatments. According to Dao </w:t>
      </w:r>
      <w:r w:rsidRPr="001F2A8B">
        <w:rPr>
          <w:rFonts w:ascii="Times New Roman" w:hAnsi="Times New Roman" w:cs="Times New Roman"/>
          <w:i/>
          <w:iCs/>
          <w:sz w:val="24"/>
          <w:szCs w:val="24"/>
        </w:rPr>
        <w:t>et al.</w:t>
      </w:r>
      <w:r w:rsidRPr="00705F02">
        <w:rPr>
          <w:rFonts w:ascii="Times New Roman" w:hAnsi="Times New Roman" w:cs="Times New Roman"/>
          <w:sz w:val="24"/>
          <w:szCs w:val="24"/>
        </w:rPr>
        <w:t xml:space="preserve"> (2021), the </w:t>
      </w:r>
      <w:proofErr w:type="spellStart"/>
      <w:r w:rsidRPr="001F2A8B">
        <w:rPr>
          <w:rFonts w:ascii="Times New Roman" w:hAnsi="Times New Roman" w:cs="Times New Roman"/>
          <w:i/>
          <w:iCs/>
          <w:sz w:val="24"/>
          <w:szCs w:val="24"/>
        </w:rPr>
        <w:t>Prevotella</w:t>
      </w:r>
      <w:r>
        <w:rPr>
          <w:rFonts w:ascii="Times New Roman" w:hAnsi="Times New Roman" w:cs="Times New Roman"/>
          <w:i/>
          <w:iCs/>
          <w:sz w:val="24"/>
          <w:szCs w:val="24"/>
        </w:rPr>
        <w:t>ceae</w:t>
      </w:r>
      <w:proofErr w:type="spellEnd"/>
      <w:r w:rsidRPr="001F2A8B">
        <w:rPr>
          <w:rFonts w:ascii="Times New Roman" w:hAnsi="Times New Roman" w:cs="Times New Roman"/>
          <w:i/>
          <w:iCs/>
          <w:sz w:val="24"/>
          <w:szCs w:val="24"/>
        </w:rPr>
        <w:t xml:space="preserve"> </w:t>
      </w:r>
      <w:r w:rsidRPr="00705F02">
        <w:rPr>
          <w:rFonts w:ascii="Times New Roman" w:hAnsi="Times New Roman" w:cs="Times New Roman"/>
          <w:sz w:val="24"/>
          <w:szCs w:val="24"/>
        </w:rPr>
        <w:t xml:space="preserve">family has an important role in the digestion of hemicellulose, starch, cellulose, hemicellulose, and pectin, as well as the metabolism of protein in the goat rumen. </w:t>
      </w:r>
      <w:proofErr w:type="spellStart"/>
      <w:r w:rsidRPr="001F2A8B">
        <w:rPr>
          <w:rFonts w:ascii="Times New Roman" w:hAnsi="Times New Roman" w:cs="Times New Roman"/>
          <w:i/>
          <w:iCs/>
          <w:sz w:val="24"/>
          <w:szCs w:val="24"/>
        </w:rPr>
        <w:t>Prevotella</w:t>
      </w:r>
      <w:r>
        <w:rPr>
          <w:rFonts w:ascii="Times New Roman" w:hAnsi="Times New Roman" w:cs="Times New Roman"/>
          <w:i/>
          <w:iCs/>
          <w:sz w:val="24"/>
          <w:szCs w:val="24"/>
        </w:rPr>
        <w:t>ceae</w:t>
      </w:r>
      <w:proofErr w:type="spellEnd"/>
      <w:r w:rsidRPr="00705F02">
        <w:rPr>
          <w:rFonts w:ascii="Times New Roman" w:hAnsi="Times New Roman" w:cs="Times New Roman"/>
          <w:sz w:val="24"/>
          <w:szCs w:val="24"/>
        </w:rPr>
        <w:t xml:space="preserve"> has many genes that code for </w:t>
      </w:r>
      <w:proofErr w:type="spellStart"/>
      <w:r w:rsidRPr="00705F02">
        <w:rPr>
          <w:rFonts w:ascii="Times New Roman" w:hAnsi="Times New Roman" w:cs="Times New Roman"/>
          <w:sz w:val="24"/>
          <w:szCs w:val="24"/>
        </w:rPr>
        <w:t>amylytic</w:t>
      </w:r>
      <w:proofErr w:type="spellEnd"/>
      <w:r w:rsidRPr="00705F02">
        <w:rPr>
          <w:rFonts w:ascii="Times New Roman" w:hAnsi="Times New Roman" w:cs="Times New Roman"/>
          <w:sz w:val="24"/>
          <w:szCs w:val="24"/>
        </w:rPr>
        <w:t xml:space="preserve"> enzymes such as α-amylase and other enzymes that are active towards carbohydrates, facilitating the breakdown of complexes starch molecules into simple sugars (Chen et al., 2022). However, </w:t>
      </w:r>
      <w:proofErr w:type="spellStart"/>
      <w:r w:rsidRPr="001F2A8B">
        <w:rPr>
          <w:rFonts w:ascii="Times New Roman" w:hAnsi="Times New Roman" w:cs="Times New Roman"/>
          <w:i/>
          <w:iCs/>
          <w:sz w:val="24"/>
          <w:szCs w:val="24"/>
        </w:rPr>
        <w:t>Prevotella</w:t>
      </w:r>
      <w:r>
        <w:rPr>
          <w:rFonts w:ascii="Times New Roman" w:hAnsi="Times New Roman" w:cs="Times New Roman"/>
          <w:i/>
          <w:iCs/>
          <w:sz w:val="24"/>
          <w:szCs w:val="24"/>
        </w:rPr>
        <w:t>ceae</w:t>
      </w:r>
      <w:proofErr w:type="spellEnd"/>
      <w:r w:rsidRPr="00705F02">
        <w:rPr>
          <w:rFonts w:ascii="Times New Roman" w:hAnsi="Times New Roman" w:cs="Times New Roman"/>
          <w:sz w:val="24"/>
          <w:szCs w:val="24"/>
        </w:rPr>
        <w:t xml:space="preserve"> tends to decline in T1 and T2, especially when viewed on the heatmap.</w:t>
      </w:r>
      <w:r w:rsidR="00F379DF">
        <w:rPr>
          <w:rFonts w:ascii="Times New Roman" w:hAnsi="Times New Roman" w:cs="Times New Roman"/>
          <w:sz w:val="24"/>
          <w:szCs w:val="24"/>
        </w:rPr>
        <w:t xml:space="preserve"> </w:t>
      </w:r>
      <w:r w:rsidR="00D920CF">
        <w:rPr>
          <w:rFonts w:ascii="Times New Roman" w:hAnsi="Times New Roman" w:cs="Times New Roman"/>
          <w:sz w:val="24"/>
          <w:szCs w:val="24"/>
        </w:rPr>
        <w:t xml:space="preserve">This decrease was caused by the antimicrobial properties of tannins, which are able to bind proteins and inhibit the growth of </w:t>
      </w:r>
      <w:proofErr w:type="spellStart"/>
      <w:r w:rsidR="00D920CF">
        <w:rPr>
          <w:rFonts w:ascii="Times New Roman" w:hAnsi="Times New Roman" w:cs="Times New Roman"/>
          <w:i/>
          <w:iCs/>
          <w:sz w:val="24"/>
          <w:szCs w:val="24"/>
        </w:rPr>
        <w:t>Prevotellaceae</w:t>
      </w:r>
      <w:proofErr w:type="spellEnd"/>
      <w:r w:rsidR="00D920CF">
        <w:rPr>
          <w:rFonts w:ascii="Times New Roman" w:hAnsi="Times New Roman" w:cs="Times New Roman"/>
          <w:i/>
          <w:iCs/>
          <w:sz w:val="24"/>
          <w:szCs w:val="24"/>
        </w:rPr>
        <w:t xml:space="preserve">, </w:t>
      </w:r>
      <w:r w:rsidR="00D920CF">
        <w:rPr>
          <w:rFonts w:ascii="Times New Roman" w:hAnsi="Times New Roman" w:cs="Times New Roman"/>
          <w:sz w:val="24"/>
          <w:szCs w:val="24"/>
        </w:rPr>
        <w:t xml:space="preserve">but don’t interfere with rumen function. </w:t>
      </w:r>
      <w:proofErr w:type="spellStart"/>
      <w:r w:rsidR="00D920CF">
        <w:rPr>
          <w:rFonts w:ascii="Times New Roman" w:hAnsi="Times New Roman" w:cs="Times New Roman"/>
          <w:sz w:val="24"/>
          <w:szCs w:val="24"/>
        </w:rPr>
        <w:t>Meanwhilee</w:t>
      </w:r>
      <w:proofErr w:type="spellEnd"/>
      <w:r w:rsidR="00D920CF">
        <w:rPr>
          <w:rFonts w:ascii="Times New Roman" w:hAnsi="Times New Roman" w:cs="Times New Roman"/>
          <w:sz w:val="24"/>
          <w:szCs w:val="24"/>
        </w:rPr>
        <w:t xml:space="preserve">, there was an increase in the relative abundance of </w:t>
      </w:r>
      <w:proofErr w:type="spellStart"/>
      <w:r w:rsidR="00D920CF">
        <w:rPr>
          <w:rFonts w:ascii="Times New Roman" w:hAnsi="Times New Roman" w:cs="Times New Roman"/>
          <w:i/>
          <w:iCs/>
          <w:sz w:val="24"/>
          <w:szCs w:val="24"/>
        </w:rPr>
        <w:t>Ruminococcaceae</w:t>
      </w:r>
      <w:proofErr w:type="spellEnd"/>
      <w:r w:rsidR="00D920CF">
        <w:rPr>
          <w:rFonts w:ascii="Times New Roman" w:hAnsi="Times New Roman" w:cs="Times New Roman"/>
          <w:i/>
          <w:iCs/>
          <w:sz w:val="24"/>
          <w:szCs w:val="24"/>
        </w:rPr>
        <w:t xml:space="preserve"> </w:t>
      </w:r>
      <w:r w:rsidR="00D920CF">
        <w:rPr>
          <w:rFonts w:ascii="Times New Roman" w:hAnsi="Times New Roman" w:cs="Times New Roman"/>
          <w:sz w:val="24"/>
          <w:szCs w:val="24"/>
        </w:rPr>
        <w:t xml:space="preserve">and </w:t>
      </w:r>
      <w:proofErr w:type="spellStart"/>
      <w:r w:rsidR="00D920CF">
        <w:rPr>
          <w:rFonts w:ascii="Times New Roman" w:hAnsi="Times New Roman" w:cs="Times New Roman"/>
          <w:i/>
          <w:iCs/>
          <w:sz w:val="24"/>
          <w:szCs w:val="24"/>
        </w:rPr>
        <w:t>Oscillospiraceae</w:t>
      </w:r>
      <w:proofErr w:type="spellEnd"/>
      <w:r w:rsidR="00D920CF">
        <w:rPr>
          <w:rFonts w:ascii="Times New Roman" w:hAnsi="Times New Roman" w:cs="Times New Roman"/>
          <w:i/>
          <w:iCs/>
          <w:sz w:val="24"/>
          <w:szCs w:val="24"/>
        </w:rPr>
        <w:t xml:space="preserve">, </w:t>
      </w:r>
      <w:r w:rsidR="00D920CF">
        <w:rPr>
          <w:rFonts w:ascii="Times New Roman" w:hAnsi="Times New Roman" w:cs="Times New Roman"/>
          <w:sz w:val="24"/>
          <w:szCs w:val="24"/>
        </w:rPr>
        <w:t xml:space="preserve">especially in T1 and T2. These two groups of bacteria contribute to the degradation and production of VFA, particularly </w:t>
      </w:r>
      <w:proofErr w:type="spellStart"/>
      <w:r w:rsidR="00D920CF">
        <w:rPr>
          <w:rFonts w:ascii="Times New Roman" w:hAnsi="Times New Roman" w:cs="Times New Roman"/>
          <w:sz w:val="24"/>
          <w:szCs w:val="24"/>
        </w:rPr>
        <w:t>butyrat</w:t>
      </w:r>
      <w:proofErr w:type="spellEnd"/>
      <w:r w:rsidR="00D920CF">
        <w:rPr>
          <w:rFonts w:ascii="Times New Roman" w:hAnsi="Times New Roman" w:cs="Times New Roman"/>
          <w:sz w:val="24"/>
          <w:szCs w:val="24"/>
        </w:rPr>
        <w:t xml:space="preserve"> production, which </w:t>
      </w:r>
      <w:proofErr w:type="spellStart"/>
      <w:r w:rsidR="00D920CF">
        <w:rPr>
          <w:rFonts w:ascii="Times New Roman" w:hAnsi="Times New Roman" w:cs="Times New Roman"/>
          <w:sz w:val="24"/>
          <w:szCs w:val="24"/>
        </w:rPr>
        <w:t>imporves</w:t>
      </w:r>
      <w:proofErr w:type="spellEnd"/>
      <w:r w:rsidR="00D920CF">
        <w:rPr>
          <w:rFonts w:ascii="Times New Roman" w:hAnsi="Times New Roman" w:cs="Times New Roman"/>
          <w:sz w:val="24"/>
          <w:szCs w:val="24"/>
        </w:rPr>
        <w:t xml:space="preserve"> fermentation function and energy efficiency. </w:t>
      </w:r>
      <w:r w:rsidR="00BE3A94">
        <w:rPr>
          <w:rFonts w:ascii="Times New Roman" w:hAnsi="Times New Roman" w:cs="Times New Roman"/>
          <w:sz w:val="24"/>
          <w:szCs w:val="24"/>
        </w:rPr>
        <w:t xml:space="preserve">The </w:t>
      </w:r>
      <w:proofErr w:type="spellStart"/>
      <w:r w:rsidR="00BE3A94">
        <w:rPr>
          <w:rFonts w:ascii="Times New Roman" w:hAnsi="Times New Roman" w:cs="Times New Roman"/>
          <w:i/>
          <w:iCs/>
          <w:sz w:val="24"/>
          <w:szCs w:val="24"/>
        </w:rPr>
        <w:t>Ruminococcaceae</w:t>
      </w:r>
      <w:proofErr w:type="spellEnd"/>
      <w:r w:rsidR="00BE3A94">
        <w:rPr>
          <w:rFonts w:ascii="Times New Roman" w:hAnsi="Times New Roman" w:cs="Times New Roman"/>
          <w:i/>
          <w:iCs/>
          <w:sz w:val="24"/>
          <w:szCs w:val="24"/>
        </w:rPr>
        <w:t xml:space="preserve"> </w:t>
      </w:r>
      <w:r w:rsidR="00BE3A94">
        <w:rPr>
          <w:rFonts w:ascii="Times New Roman" w:hAnsi="Times New Roman" w:cs="Times New Roman"/>
          <w:sz w:val="24"/>
          <w:szCs w:val="24"/>
        </w:rPr>
        <w:t xml:space="preserve">ferment carbohydrates to produces butyrate, which is important for maintaining gut health and as an energy source, and has anti-inflammatory properties (Ploger </w:t>
      </w:r>
      <w:r w:rsidR="00BE3A94">
        <w:rPr>
          <w:rFonts w:ascii="Times New Roman" w:hAnsi="Times New Roman" w:cs="Times New Roman"/>
          <w:i/>
          <w:iCs/>
          <w:sz w:val="24"/>
          <w:szCs w:val="24"/>
        </w:rPr>
        <w:t xml:space="preserve">et al., </w:t>
      </w:r>
      <w:r w:rsidR="00BE3A94">
        <w:rPr>
          <w:rFonts w:ascii="Times New Roman" w:hAnsi="Times New Roman" w:cs="Times New Roman"/>
          <w:sz w:val="24"/>
          <w:szCs w:val="24"/>
        </w:rPr>
        <w:t xml:space="preserve">2012). </w:t>
      </w:r>
      <w:r w:rsidR="002E146B">
        <w:rPr>
          <w:rFonts w:ascii="Times New Roman" w:hAnsi="Times New Roman" w:cs="Times New Roman"/>
          <w:sz w:val="24"/>
          <w:szCs w:val="24"/>
        </w:rPr>
        <w:t xml:space="preserve">This </w:t>
      </w:r>
      <w:proofErr w:type="spellStart"/>
      <w:r w:rsidR="002E146B">
        <w:rPr>
          <w:rFonts w:ascii="Times New Roman" w:hAnsi="Times New Roman" w:cs="Times New Roman"/>
          <w:sz w:val="24"/>
          <w:szCs w:val="24"/>
        </w:rPr>
        <w:t>shifft</w:t>
      </w:r>
      <w:proofErr w:type="spellEnd"/>
      <w:r w:rsidR="002E146B">
        <w:rPr>
          <w:rFonts w:ascii="Times New Roman" w:hAnsi="Times New Roman" w:cs="Times New Roman"/>
          <w:sz w:val="24"/>
          <w:szCs w:val="24"/>
        </w:rPr>
        <w:t xml:space="preserve"> in the community indicates that supplementation with </w:t>
      </w:r>
      <w:proofErr w:type="spellStart"/>
      <w:r w:rsidR="002E146B">
        <w:rPr>
          <w:rFonts w:ascii="Times New Roman" w:hAnsi="Times New Roman" w:cs="Times New Roman"/>
          <w:i/>
          <w:iCs/>
          <w:sz w:val="24"/>
          <w:szCs w:val="24"/>
        </w:rPr>
        <w:t>Teminalia</w:t>
      </w:r>
      <w:proofErr w:type="spellEnd"/>
      <w:r w:rsidR="002E146B">
        <w:rPr>
          <w:rFonts w:ascii="Times New Roman" w:hAnsi="Times New Roman" w:cs="Times New Roman"/>
          <w:i/>
          <w:iCs/>
          <w:sz w:val="24"/>
          <w:szCs w:val="24"/>
        </w:rPr>
        <w:t xml:space="preserve"> </w:t>
      </w:r>
      <w:proofErr w:type="spellStart"/>
      <w:r w:rsidR="002E146B">
        <w:rPr>
          <w:rFonts w:ascii="Times New Roman" w:hAnsi="Times New Roman" w:cs="Times New Roman"/>
          <w:i/>
          <w:iCs/>
          <w:sz w:val="24"/>
          <w:szCs w:val="24"/>
        </w:rPr>
        <w:t>catappaa</w:t>
      </w:r>
      <w:proofErr w:type="spellEnd"/>
      <w:r w:rsidR="002E146B">
        <w:rPr>
          <w:rFonts w:ascii="Times New Roman" w:hAnsi="Times New Roman" w:cs="Times New Roman"/>
          <w:i/>
          <w:iCs/>
          <w:sz w:val="24"/>
          <w:szCs w:val="24"/>
        </w:rPr>
        <w:t xml:space="preserve"> </w:t>
      </w:r>
      <w:r w:rsidR="002E146B">
        <w:rPr>
          <w:rFonts w:ascii="Times New Roman" w:hAnsi="Times New Roman" w:cs="Times New Roman"/>
          <w:sz w:val="24"/>
          <w:szCs w:val="24"/>
        </w:rPr>
        <w:t>L. leaf extract can be used to balance the rumen community towards greater stability.</w:t>
      </w:r>
    </w:p>
    <w:p w14:paraId="10D08EF4" w14:textId="0E253A34" w:rsidR="00265BEF" w:rsidRPr="00576562" w:rsidRDefault="00F3246D" w:rsidP="00265BEF">
      <w:pPr>
        <w:pStyle w:val="ListParagraph"/>
        <w:spacing w:line="360" w:lineRule="auto"/>
        <w:ind w:left="0" w:firstLine="426"/>
        <w:jc w:val="both"/>
        <w:rPr>
          <w:rFonts w:ascii="Times New Roman" w:hAnsi="Times New Roman" w:cs="Times New Roman"/>
          <w:sz w:val="24"/>
          <w:szCs w:val="24"/>
        </w:rPr>
      </w:pPr>
      <w:r w:rsidRPr="00F3246D">
        <w:rPr>
          <w:rFonts w:ascii="Times New Roman" w:hAnsi="Times New Roman" w:cs="Times New Roman"/>
          <w:sz w:val="24"/>
          <w:szCs w:val="24"/>
        </w:rPr>
        <w:t xml:space="preserve">The </w:t>
      </w:r>
      <w:r w:rsidR="00391EE9">
        <w:rPr>
          <w:rFonts w:ascii="Times New Roman" w:hAnsi="Times New Roman" w:cs="Times New Roman"/>
          <w:sz w:val="24"/>
          <w:szCs w:val="24"/>
        </w:rPr>
        <w:t>o</w:t>
      </w:r>
      <w:r w:rsidRPr="00F3246D">
        <w:rPr>
          <w:rFonts w:ascii="Times New Roman" w:hAnsi="Times New Roman" w:cs="Times New Roman"/>
          <w:sz w:val="24"/>
          <w:szCs w:val="24"/>
        </w:rPr>
        <w:t xml:space="preserve">ther finding was the existence of the </w:t>
      </w:r>
      <w:proofErr w:type="spellStart"/>
      <w:r w:rsidRPr="00F3246D">
        <w:rPr>
          <w:rFonts w:ascii="Times New Roman" w:hAnsi="Times New Roman" w:cs="Times New Roman"/>
          <w:i/>
          <w:iCs/>
          <w:sz w:val="24"/>
          <w:szCs w:val="24"/>
        </w:rPr>
        <w:t>Incertae</w:t>
      </w:r>
      <w:proofErr w:type="spellEnd"/>
      <w:r w:rsidRPr="00F3246D">
        <w:rPr>
          <w:rFonts w:ascii="Times New Roman" w:hAnsi="Times New Roman" w:cs="Times New Roman"/>
          <w:i/>
          <w:iCs/>
          <w:sz w:val="24"/>
          <w:szCs w:val="24"/>
        </w:rPr>
        <w:t xml:space="preserve"> sedis </w:t>
      </w:r>
      <w:r w:rsidRPr="00F3246D">
        <w:rPr>
          <w:rFonts w:ascii="Times New Roman" w:hAnsi="Times New Roman" w:cs="Times New Roman"/>
          <w:sz w:val="24"/>
          <w:szCs w:val="24"/>
        </w:rPr>
        <w:t xml:space="preserve">group, that was only detected in the control (T0) and not found in T1 or T2. </w:t>
      </w:r>
      <w:proofErr w:type="spellStart"/>
      <w:r w:rsidRPr="00F3246D">
        <w:rPr>
          <w:rFonts w:ascii="Times New Roman" w:hAnsi="Times New Roman" w:cs="Times New Roman"/>
          <w:i/>
          <w:iCs/>
          <w:sz w:val="24"/>
          <w:szCs w:val="24"/>
        </w:rPr>
        <w:t>Incertae</w:t>
      </w:r>
      <w:proofErr w:type="spellEnd"/>
      <w:r w:rsidRPr="00F3246D">
        <w:rPr>
          <w:rFonts w:ascii="Times New Roman" w:hAnsi="Times New Roman" w:cs="Times New Roman"/>
          <w:i/>
          <w:iCs/>
          <w:sz w:val="24"/>
          <w:szCs w:val="24"/>
        </w:rPr>
        <w:t xml:space="preserve"> sedis</w:t>
      </w:r>
      <w:r>
        <w:rPr>
          <w:rFonts w:ascii="Times New Roman" w:hAnsi="Times New Roman" w:cs="Times New Roman"/>
          <w:i/>
          <w:iCs/>
          <w:sz w:val="24"/>
          <w:szCs w:val="24"/>
        </w:rPr>
        <w:t xml:space="preserve"> </w:t>
      </w:r>
      <w:r>
        <w:rPr>
          <w:rFonts w:ascii="Times New Roman" w:hAnsi="Times New Roman" w:cs="Times New Roman"/>
          <w:sz w:val="24"/>
          <w:szCs w:val="24"/>
        </w:rPr>
        <w:t xml:space="preserve">indicate a group of bacteria that have not been clearly defined. The </w:t>
      </w:r>
      <w:proofErr w:type="spellStart"/>
      <w:r>
        <w:rPr>
          <w:rFonts w:ascii="Times New Roman" w:hAnsi="Times New Roman" w:cs="Times New Roman"/>
          <w:sz w:val="24"/>
          <w:szCs w:val="24"/>
        </w:rPr>
        <w:t>disappearence</w:t>
      </w:r>
      <w:proofErr w:type="spellEnd"/>
      <w:r>
        <w:rPr>
          <w:rFonts w:ascii="Times New Roman" w:hAnsi="Times New Roman" w:cs="Times New Roman"/>
          <w:sz w:val="24"/>
          <w:szCs w:val="24"/>
        </w:rPr>
        <w:t xml:space="preserve"> of this result in T1 and T2 is due to the effect of supplementation, indicating that the pressure from </w:t>
      </w:r>
      <w:proofErr w:type="spellStart"/>
      <w:r>
        <w:rPr>
          <w:rFonts w:ascii="Times New Roman" w:hAnsi="Times New Roman" w:cs="Times New Roman"/>
          <w:i/>
          <w:iCs/>
          <w:sz w:val="24"/>
          <w:szCs w:val="24"/>
        </w:rPr>
        <w:t>Teminalia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catappaa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leaf extract directs the microbial community to become more functional. The decrease in </w:t>
      </w:r>
      <w:proofErr w:type="spellStart"/>
      <w:r w:rsidRPr="00F3246D">
        <w:rPr>
          <w:rFonts w:ascii="Times New Roman" w:hAnsi="Times New Roman" w:cs="Times New Roman"/>
          <w:i/>
          <w:iCs/>
          <w:sz w:val="24"/>
          <w:szCs w:val="24"/>
        </w:rPr>
        <w:t>Incertae</w:t>
      </w:r>
      <w:proofErr w:type="spellEnd"/>
      <w:r w:rsidRPr="00F3246D">
        <w:rPr>
          <w:rFonts w:ascii="Times New Roman" w:hAnsi="Times New Roman" w:cs="Times New Roman"/>
          <w:i/>
          <w:iCs/>
          <w:sz w:val="24"/>
          <w:szCs w:val="24"/>
        </w:rPr>
        <w:t xml:space="preserve"> sedis</w:t>
      </w:r>
      <w:r>
        <w:rPr>
          <w:rFonts w:ascii="Times New Roman" w:hAnsi="Times New Roman" w:cs="Times New Roman"/>
          <w:i/>
          <w:iCs/>
          <w:sz w:val="24"/>
          <w:szCs w:val="24"/>
        </w:rPr>
        <w:t xml:space="preserve"> </w:t>
      </w:r>
      <w:r>
        <w:rPr>
          <w:rFonts w:ascii="Times New Roman" w:hAnsi="Times New Roman" w:cs="Times New Roman"/>
          <w:sz w:val="24"/>
          <w:szCs w:val="24"/>
        </w:rPr>
        <w:t xml:space="preserve">and the increased presence of </w:t>
      </w:r>
      <w:proofErr w:type="spellStart"/>
      <w:r>
        <w:rPr>
          <w:rFonts w:ascii="Times New Roman" w:hAnsi="Times New Roman" w:cs="Times New Roman"/>
          <w:sz w:val="24"/>
          <w:szCs w:val="24"/>
        </w:rPr>
        <w:t>fibrolitic</w:t>
      </w:r>
      <w:proofErr w:type="spellEnd"/>
      <w:r>
        <w:rPr>
          <w:rFonts w:ascii="Times New Roman" w:hAnsi="Times New Roman" w:cs="Times New Roman"/>
          <w:sz w:val="24"/>
          <w:szCs w:val="24"/>
        </w:rPr>
        <w:t xml:space="preserve"> bacteria indicate that </w:t>
      </w:r>
      <w:proofErr w:type="spellStart"/>
      <w:r>
        <w:rPr>
          <w:rFonts w:ascii="Times New Roman" w:hAnsi="Times New Roman" w:cs="Times New Roman"/>
          <w:sz w:val="24"/>
          <w:szCs w:val="24"/>
        </w:rPr>
        <w:t>supplementatio</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tihis</w:t>
      </w:r>
      <w:proofErr w:type="spellEnd"/>
      <w:r>
        <w:rPr>
          <w:rFonts w:ascii="Times New Roman" w:hAnsi="Times New Roman" w:cs="Times New Roman"/>
          <w:sz w:val="24"/>
          <w:szCs w:val="24"/>
        </w:rPr>
        <w:t xml:space="preserve"> extract can stimulate the formation of a more efficient, stable, and fiber degradation friendly microbial community. </w:t>
      </w:r>
      <w:r w:rsidR="00576562">
        <w:rPr>
          <w:rFonts w:ascii="Times New Roman" w:hAnsi="Times New Roman" w:cs="Times New Roman"/>
          <w:sz w:val="24"/>
          <w:szCs w:val="24"/>
        </w:rPr>
        <w:t xml:space="preserve">This agreement with the opinion of Xie </w:t>
      </w:r>
      <w:r w:rsidR="00576562">
        <w:rPr>
          <w:rFonts w:ascii="Times New Roman" w:hAnsi="Times New Roman" w:cs="Times New Roman"/>
          <w:i/>
          <w:iCs/>
          <w:sz w:val="24"/>
          <w:szCs w:val="24"/>
        </w:rPr>
        <w:t xml:space="preserve">et al. </w:t>
      </w:r>
      <w:r w:rsidR="00576562">
        <w:rPr>
          <w:rFonts w:ascii="Times New Roman" w:hAnsi="Times New Roman" w:cs="Times New Roman"/>
          <w:sz w:val="24"/>
          <w:szCs w:val="24"/>
        </w:rPr>
        <w:t xml:space="preserve">(2018) that when </w:t>
      </w:r>
      <w:proofErr w:type="spellStart"/>
      <w:r w:rsidR="00576562">
        <w:rPr>
          <w:rFonts w:ascii="Times New Roman" w:hAnsi="Times New Roman" w:cs="Times New Roman"/>
          <w:sz w:val="24"/>
          <w:szCs w:val="24"/>
        </w:rPr>
        <w:t>fibrolytic</w:t>
      </w:r>
      <w:proofErr w:type="spellEnd"/>
      <w:r w:rsidR="00576562">
        <w:rPr>
          <w:rFonts w:ascii="Times New Roman" w:hAnsi="Times New Roman" w:cs="Times New Roman"/>
          <w:sz w:val="24"/>
          <w:szCs w:val="24"/>
        </w:rPr>
        <w:t xml:space="preserve"> bacteria </w:t>
      </w:r>
      <w:proofErr w:type="spellStart"/>
      <w:r w:rsidR="00576562">
        <w:rPr>
          <w:rFonts w:ascii="Times New Roman" w:hAnsi="Times New Roman" w:cs="Times New Roman"/>
          <w:sz w:val="24"/>
          <w:szCs w:val="24"/>
        </w:rPr>
        <w:t>expandd</w:t>
      </w:r>
      <w:proofErr w:type="spellEnd"/>
      <w:r w:rsidR="00576562">
        <w:rPr>
          <w:rFonts w:ascii="Times New Roman" w:hAnsi="Times New Roman" w:cs="Times New Roman"/>
          <w:sz w:val="24"/>
          <w:szCs w:val="24"/>
        </w:rPr>
        <w:t xml:space="preserve"> their ability to degradation fibers, the ecological space for non-specialist or unclassified taxa narrows, resulting in a decrease in the frequency of </w:t>
      </w:r>
      <w:proofErr w:type="spellStart"/>
      <w:r w:rsidR="00576562" w:rsidRPr="00F3246D">
        <w:rPr>
          <w:rFonts w:ascii="Times New Roman" w:hAnsi="Times New Roman" w:cs="Times New Roman"/>
          <w:i/>
          <w:iCs/>
          <w:sz w:val="24"/>
          <w:szCs w:val="24"/>
        </w:rPr>
        <w:t>Incertae</w:t>
      </w:r>
      <w:proofErr w:type="spellEnd"/>
      <w:r w:rsidR="00576562" w:rsidRPr="00F3246D">
        <w:rPr>
          <w:rFonts w:ascii="Times New Roman" w:hAnsi="Times New Roman" w:cs="Times New Roman"/>
          <w:i/>
          <w:iCs/>
          <w:sz w:val="24"/>
          <w:szCs w:val="24"/>
        </w:rPr>
        <w:t xml:space="preserve"> sedis</w:t>
      </w:r>
      <w:r w:rsidR="00576562">
        <w:rPr>
          <w:rFonts w:ascii="Times New Roman" w:hAnsi="Times New Roman" w:cs="Times New Roman"/>
          <w:i/>
          <w:iCs/>
          <w:sz w:val="24"/>
          <w:szCs w:val="24"/>
        </w:rPr>
        <w:t>.</w:t>
      </w:r>
    </w:p>
    <w:p w14:paraId="2C08D074" w14:textId="77777777" w:rsidR="00265BEF" w:rsidRPr="00432A2A" w:rsidRDefault="00265BEF" w:rsidP="00265BEF">
      <w:pPr>
        <w:pStyle w:val="ListParagraph"/>
        <w:spacing w:line="240" w:lineRule="auto"/>
        <w:ind w:left="0" w:firstLine="426"/>
        <w:jc w:val="both"/>
        <w:rPr>
          <w:rFonts w:ascii="Times New Roman" w:hAnsi="Times New Roman" w:cs="Times New Roman"/>
          <w:sz w:val="24"/>
          <w:szCs w:val="24"/>
          <w:highlight w:val="yellow"/>
        </w:rPr>
      </w:pPr>
    </w:p>
    <w:p w14:paraId="6931B340" w14:textId="77777777" w:rsidR="00265BEF" w:rsidRPr="00FE71FB" w:rsidRDefault="00265BEF" w:rsidP="00265BEF">
      <w:pPr>
        <w:pStyle w:val="ListParagraph"/>
        <w:numPr>
          <w:ilvl w:val="0"/>
          <w:numId w:val="1"/>
        </w:numPr>
        <w:spacing w:line="360" w:lineRule="auto"/>
        <w:ind w:left="426" w:hanging="426"/>
        <w:rPr>
          <w:rFonts w:ascii="Times New Roman" w:hAnsi="Times New Roman" w:cs="Times New Roman"/>
          <w:b/>
          <w:bCs/>
          <w:sz w:val="24"/>
          <w:szCs w:val="24"/>
        </w:rPr>
      </w:pPr>
      <w:r w:rsidRPr="00FE71FB">
        <w:rPr>
          <w:rFonts w:ascii="Times New Roman" w:hAnsi="Times New Roman" w:cs="Times New Roman"/>
          <w:b/>
          <w:bCs/>
          <w:sz w:val="24"/>
          <w:szCs w:val="24"/>
        </w:rPr>
        <w:t>CONCLUSIONS</w:t>
      </w:r>
    </w:p>
    <w:p w14:paraId="32B69889" w14:textId="6CC98E73" w:rsidR="00265BEF" w:rsidRPr="007127B3" w:rsidRDefault="00265BEF" w:rsidP="00265BEF">
      <w:pPr>
        <w:pStyle w:val="ListParagraph"/>
        <w:spacing w:line="360" w:lineRule="auto"/>
        <w:ind w:left="0" w:firstLine="426"/>
        <w:jc w:val="both"/>
        <w:rPr>
          <w:rFonts w:ascii="Times New Roman" w:hAnsi="Times New Roman" w:cs="Times New Roman"/>
          <w:sz w:val="24"/>
          <w:szCs w:val="24"/>
        </w:rPr>
      </w:pPr>
      <w:r w:rsidRPr="007127B3">
        <w:rPr>
          <w:rFonts w:ascii="Times New Roman" w:hAnsi="Times New Roman" w:cs="Times New Roman"/>
          <w:sz w:val="24"/>
          <w:szCs w:val="24"/>
        </w:rPr>
        <w:t>Sup</w:t>
      </w:r>
      <w:r w:rsidR="009F4E5E" w:rsidRPr="007127B3">
        <w:rPr>
          <w:rFonts w:ascii="Times New Roman" w:hAnsi="Times New Roman" w:cs="Times New Roman"/>
          <w:sz w:val="24"/>
          <w:szCs w:val="24"/>
        </w:rPr>
        <w:t xml:space="preserve">plementation of </w:t>
      </w:r>
      <w:r w:rsidRPr="007127B3">
        <w:rPr>
          <w:rFonts w:ascii="Times New Roman" w:hAnsi="Times New Roman" w:cs="Times New Roman"/>
          <w:i/>
          <w:iCs/>
          <w:sz w:val="24"/>
          <w:szCs w:val="24"/>
        </w:rPr>
        <w:t xml:space="preserve">Terminalia </w:t>
      </w:r>
      <w:proofErr w:type="spellStart"/>
      <w:r w:rsidRPr="007127B3">
        <w:rPr>
          <w:rFonts w:ascii="Times New Roman" w:hAnsi="Times New Roman" w:cs="Times New Roman"/>
          <w:i/>
          <w:iCs/>
          <w:sz w:val="24"/>
          <w:szCs w:val="24"/>
        </w:rPr>
        <w:t>catappa</w:t>
      </w:r>
      <w:proofErr w:type="spellEnd"/>
      <w:r w:rsidRPr="007127B3">
        <w:rPr>
          <w:rFonts w:ascii="Times New Roman" w:hAnsi="Times New Roman" w:cs="Times New Roman"/>
          <w:i/>
          <w:iCs/>
          <w:sz w:val="24"/>
          <w:szCs w:val="24"/>
        </w:rPr>
        <w:t xml:space="preserve"> </w:t>
      </w:r>
      <w:r w:rsidRPr="007127B3">
        <w:rPr>
          <w:rFonts w:ascii="Times New Roman" w:hAnsi="Times New Roman" w:cs="Times New Roman"/>
          <w:sz w:val="24"/>
          <w:szCs w:val="24"/>
        </w:rPr>
        <w:t xml:space="preserve">L. </w:t>
      </w:r>
      <w:r w:rsidR="009F4E5E" w:rsidRPr="007127B3">
        <w:rPr>
          <w:rFonts w:ascii="Times New Roman" w:hAnsi="Times New Roman" w:cs="Times New Roman"/>
          <w:sz w:val="24"/>
          <w:szCs w:val="24"/>
        </w:rPr>
        <w:t xml:space="preserve">leaf extract at a level of </w:t>
      </w:r>
      <w:r w:rsidRPr="007127B3">
        <w:rPr>
          <w:rFonts w:ascii="Times New Roman" w:hAnsi="Times New Roman" w:cs="Times New Roman"/>
          <w:sz w:val="24"/>
          <w:szCs w:val="24"/>
        </w:rPr>
        <w:t xml:space="preserve">2% </w:t>
      </w:r>
      <w:r w:rsidR="009F4E5E" w:rsidRPr="007127B3">
        <w:rPr>
          <w:rFonts w:ascii="Times New Roman" w:hAnsi="Times New Roman" w:cs="Times New Roman"/>
          <w:sz w:val="24"/>
          <w:szCs w:val="24"/>
        </w:rPr>
        <w:t xml:space="preserve">increased bacterial diversity and separation of community structure, with a decrease in relative abundance in the </w:t>
      </w:r>
      <w:proofErr w:type="spellStart"/>
      <w:r w:rsidRPr="007127B3">
        <w:rPr>
          <w:rFonts w:ascii="Times New Roman" w:hAnsi="Times New Roman" w:cs="Times New Roman"/>
          <w:i/>
          <w:iCs/>
          <w:sz w:val="24"/>
          <w:szCs w:val="24"/>
        </w:rPr>
        <w:t>Prevotellaceae</w:t>
      </w:r>
      <w:proofErr w:type="spellEnd"/>
      <w:r w:rsidR="00983A7B" w:rsidRPr="007127B3">
        <w:rPr>
          <w:rFonts w:ascii="Times New Roman" w:hAnsi="Times New Roman" w:cs="Times New Roman"/>
          <w:bCs/>
          <w:i/>
          <w:iCs/>
          <w:sz w:val="24"/>
          <w:szCs w:val="24"/>
        </w:rPr>
        <w:t xml:space="preserve"> </w:t>
      </w:r>
      <w:r w:rsidR="009F4E5E" w:rsidRPr="007127B3">
        <w:rPr>
          <w:rFonts w:ascii="Times New Roman" w:hAnsi="Times New Roman" w:cs="Times New Roman"/>
          <w:bCs/>
          <w:sz w:val="24"/>
          <w:szCs w:val="24"/>
        </w:rPr>
        <w:t xml:space="preserve">family and </w:t>
      </w:r>
      <w:proofErr w:type="spellStart"/>
      <w:r w:rsidR="00983A7B" w:rsidRPr="007127B3">
        <w:rPr>
          <w:rFonts w:ascii="Times New Roman" w:hAnsi="Times New Roman" w:cs="Times New Roman"/>
          <w:i/>
          <w:iCs/>
          <w:sz w:val="24"/>
          <w:szCs w:val="24"/>
        </w:rPr>
        <w:t>Incertae</w:t>
      </w:r>
      <w:proofErr w:type="spellEnd"/>
      <w:r w:rsidR="00983A7B" w:rsidRPr="007127B3">
        <w:rPr>
          <w:rFonts w:ascii="Times New Roman" w:hAnsi="Times New Roman" w:cs="Times New Roman"/>
          <w:i/>
          <w:iCs/>
          <w:sz w:val="24"/>
          <w:szCs w:val="24"/>
        </w:rPr>
        <w:t xml:space="preserve"> Sedis</w:t>
      </w:r>
      <w:r w:rsidR="00983A7B" w:rsidRPr="007127B3">
        <w:rPr>
          <w:rFonts w:ascii="Times New Roman" w:hAnsi="Times New Roman" w:cs="Times New Roman"/>
          <w:sz w:val="24"/>
          <w:szCs w:val="24"/>
        </w:rPr>
        <w:t xml:space="preserve"> </w:t>
      </w:r>
      <w:r w:rsidR="009F4E5E" w:rsidRPr="007127B3">
        <w:rPr>
          <w:rFonts w:ascii="Times New Roman" w:hAnsi="Times New Roman" w:cs="Times New Roman"/>
          <w:sz w:val="24"/>
          <w:szCs w:val="24"/>
        </w:rPr>
        <w:t xml:space="preserve">found at </w:t>
      </w:r>
      <w:r w:rsidR="00983A7B" w:rsidRPr="007127B3">
        <w:rPr>
          <w:rFonts w:ascii="Times New Roman" w:hAnsi="Times New Roman" w:cs="Times New Roman"/>
          <w:sz w:val="24"/>
          <w:szCs w:val="24"/>
        </w:rPr>
        <w:t xml:space="preserve">T0. </w:t>
      </w:r>
      <w:r w:rsidR="00CF0685">
        <w:rPr>
          <w:rFonts w:ascii="Times New Roman" w:hAnsi="Times New Roman" w:cs="Times New Roman"/>
          <w:sz w:val="24"/>
          <w:szCs w:val="24"/>
        </w:rPr>
        <w:t>F</w:t>
      </w:r>
      <w:r w:rsidR="009F4E5E" w:rsidRPr="007127B3">
        <w:rPr>
          <w:rFonts w:ascii="Times New Roman" w:hAnsi="Times New Roman" w:cs="Times New Roman"/>
          <w:sz w:val="24"/>
          <w:szCs w:val="24"/>
        </w:rPr>
        <w:t>indings</w:t>
      </w:r>
      <w:r w:rsidR="00CF0685">
        <w:rPr>
          <w:rFonts w:ascii="Times New Roman" w:hAnsi="Times New Roman" w:cs="Times New Roman"/>
          <w:sz w:val="24"/>
          <w:szCs w:val="24"/>
        </w:rPr>
        <w:t xml:space="preserve"> show that</w:t>
      </w:r>
      <w:r w:rsidR="009F4E5E" w:rsidRPr="007127B3">
        <w:rPr>
          <w:rFonts w:ascii="Times New Roman" w:hAnsi="Times New Roman" w:cs="Times New Roman"/>
          <w:sz w:val="24"/>
          <w:szCs w:val="24"/>
        </w:rPr>
        <w:t xml:space="preserve"> </w:t>
      </w:r>
      <w:proofErr w:type="spellStart"/>
      <w:r w:rsidR="009F4E5E" w:rsidRPr="007127B3">
        <w:rPr>
          <w:rFonts w:ascii="Times New Roman" w:hAnsi="Times New Roman" w:cs="Times New Roman"/>
          <w:sz w:val="24"/>
          <w:szCs w:val="24"/>
        </w:rPr>
        <w:t>in</w:t>
      </w:r>
      <w:r w:rsidR="009F4E5E" w:rsidRPr="007127B3">
        <w:rPr>
          <w:rFonts w:ascii="Times New Roman" w:hAnsi="Times New Roman" w:cs="Times New Roman"/>
          <w:i/>
          <w:iCs/>
          <w:sz w:val="24"/>
          <w:szCs w:val="24"/>
        </w:rPr>
        <w:t>Terminalia</w:t>
      </w:r>
      <w:proofErr w:type="spellEnd"/>
      <w:r w:rsidR="009F4E5E" w:rsidRPr="007127B3">
        <w:rPr>
          <w:rFonts w:ascii="Times New Roman" w:hAnsi="Times New Roman" w:cs="Times New Roman"/>
          <w:i/>
          <w:iCs/>
          <w:sz w:val="24"/>
          <w:szCs w:val="24"/>
        </w:rPr>
        <w:t xml:space="preserve"> </w:t>
      </w:r>
      <w:proofErr w:type="spellStart"/>
      <w:r w:rsidR="009F4E5E" w:rsidRPr="007127B3">
        <w:rPr>
          <w:rFonts w:ascii="Times New Roman" w:hAnsi="Times New Roman" w:cs="Times New Roman"/>
          <w:i/>
          <w:iCs/>
          <w:sz w:val="24"/>
          <w:szCs w:val="24"/>
        </w:rPr>
        <w:t>catappa</w:t>
      </w:r>
      <w:proofErr w:type="spellEnd"/>
      <w:r w:rsidR="009F4E5E" w:rsidRPr="007127B3">
        <w:rPr>
          <w:rFonts w:ascii="Times New Roman" w:hAnsi="Times New Roman" w:cs="Times New Roman"/>
          <w:i/>
          <w:iCs/>
          <w:sz w:val="24"/>
          <w:szCs w:val="24"/>
        </w:rPr>
        <w:t xml:space="preserve"> </w:t>
      </w:r>
      <w:r w:rsidR="009F4E5E" w:rsidRPr="007127B3">
        <w:rPr>
          <w:rFonts w:ascii="Times New Roman" w:hAnsi="Times New Roman" w:cs="Times New Roman"/>
          <w:sz w:val="24"/>
          <w:szCs w:val="24"/>
        </w:rPr>
        <w:t>L. leaf extract has the potential to modulate the rumen bacterial community, especially th</w:t>
      </w:r>
      <w:r w:rsidR="002D58B9">
        <w:rPr>
          <w:rFonts w:ascii="Times New Roman" w:hAnsi="Times New Roman" w:cs="Times New Roman"/>
          <w:sz w:val="24"/>
          <w:szCs w:val="24"/>
        </w:rPr>
        <w:t>at</w:t>
      </w:r>
      <w:r w:rsidR="009F4E5E" w:rsidRPr="007127B3">
        <w:rPr>
          <w:rFonts w:ascii="Times New Roman" w:hAnsi="Times New Roman" w:cs="Times New Roman"/>
          <w:sz w:val="24"/>
          <w:szCs w:val="24"/>
        </w:rPr>
        <w:t xml:space="preserve"> involved in fiber fermentation and rumen meta</w:t>
      </w:r>
      <w:r w:rsidR="00CF0685">
        <w:rPr>
          <w:rFonts w:ascii="Times New Roman" w:hAnsi="Times New Roman" w:cs="Times New Roman"/>
          <w:sz w:val="24"/>
          <w:szCs w:val="24"/>
        </w:rPr>
        <w:t>b</w:t>
      </w:r>
      <w:r w:rsidR="009F4E5E" w:rsidRPr="007127B3">
        <w:rPr>
          <w:rFonts w:ascii="Times New Roman" w:hAnsi="Times New Roman" w:cs="Times New Roman"/>
          <w:sz w:val="24"/>
          <w:szCs w:val="24"/>
        </w:rPr>
        <w:t>olism.</w:t>
      </w:r>
    </w:p>
    <w:sectPr w:rsidR="00265BEF" w:rsidRPr="007127B3" w:rsidSect="00C96945">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592C" w14:textId="77777777" w:rsidR="00776A91" w:rsidRDefault="00776A91" w:rsidP="001D690D">
      <w:pPr>
        <w:spacing w:after="0" w:line="240" w:lineRule="auto"/>
      </w:pPr>
      <w:r>
        <w:separator/>
      </w:r>
    </w:p>
  </w:endnote>
  <w:endnote w:type="continuationSeparator" w:id="0">
    <w:p w14:paraId="0794D480" w14:textId="77777777" w:rsidR="00776A91" w:rsidRDefault="00776A91" w:rsidP="001D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82405181"/>
      <w:docPartObj>
        <w:docPartGallery w:val="Page Numbers (Bottom of Page)"/>
        <w:docPartUnique/>
      </w:docPartObj>
    </w:sdtPr>
    <w:sdtEndPr>
      <w:rPr>
        <w:noProof/>
      </w:rPr>
    </w:sdtEndPr>
    <w:sdtContent>
      <w:p w14:paraId="78BBD702" w14:textId="46DDB150" w:rsidR="001D690D" w:rsidRPr="001D690D" w:rsidRDefault="001D690D">
        <w:pPr>
          <w:pStyle w:val="Footer"/>
          <w:jc w:val="right"/>
          <w:rPr>
            <w:rFonts w:ascii="Times New Roman" w:hAnsi="Times New Roman" w:cs="Times New Roman"/>
            <w:sz w:val="24"/>
            <w:szCs w:val="24"/>
          </w:rPr>
        </w:pPr>
        <w:r w:rsidRPr="001D690D">
          <w:rPr>
            <w:rFonts w:ascii="Times New Roman" w:hAnsi="Times New Roman" w:cs="Times New Roman"/>
            <w:sz w:val="24"/>
            <w:szCs w:val="24"/>
          </w:rPr>
          <w:fldChar w:fldCharType="begin"/>
        </w:r>
        <w:r w:rsidRPr="001D690D">
          <w:rPr>
            <w:rFonts w:ascii="Times New Roman" w:hAnsi="Times New Roman" w:cs="Times New Roman"/>
            <w:sz w:val="24"/>
            <w:szCs w:val="24"/>
          </w:rPr>
          <w:instrText xml:space="preserve"> PAGE   \* MERGEFORMAT </w:instrText>
        </w:r>
        <w:r w:rsidRPr="001D690D">
          <w:rPr>
            <w:rFonts w:ascii="Times New Roman" w:hAnsi="Times New Roman" w:cs="Times New Roman"/>
            <w:sz w:val="24"/>
            <w:szCs w:val="24"/>
          </w:rPr>
          <w:fldChar w:fldCharType="separate"/>
        </w:r>
        <w:r w:rsidRPr="001D690D">
          <w:rPr>
            <w:rFonts w:ascii="Times New Roman" w:hAnsi="Times New Roman" w:cs="Times New Roman"/>
            <w:noProof/>
            <w:sz w:val="24"/>
            <w:szCs w:val="24"/>
          </w:rPr>
          <w:t>2</w:t>
        </w:r>
        <w:r w:rsidRPr="001D690D">
          <w:rPr>
            <w:rFonts w:ascii="Times New Roman" w:hAnsi="Times New Roman" w:cs="Times New Roman"/>
            <w:noProof/>
            <w:sz w:val="24"/>
            <w:szCs w:val="24"/>
          </w:rPr>
          <w:fldChar w:fldCharType="end"/>
        </w:r>
      </w:p>
    </w:sdtContent>
  </w:sdt>
  <w:p w14:paraId="7470B295" w14:textId="77777777" w:rsidR="001D690D" w:rsidRPr="001D690D" w:rsidRDefault="001D690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77BC" w14:textId="77777777" w:rsidR="00776A91" w:rsidRDefault="00776A91" w:rsidP="001D690D">
      <w:pPr>
        <w:spacing w:after="0" w:line="240" w:lineRule="auto"/>
      </w:pPr>
      <w:r>
        <w:separator/>
      </w:r>
    </w:p>
  </w:footnote>
  <w:footnote w:type="continuationSeparator" w:id="0">
    <w:p w14:paraId="1DFC2AB1" w14:textId="77777777" w:rsidR="00776A91" w:rsidRDefault="00776A91" w:rsidP="001D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563D8"/>
    <w:multiLevelType w:val="multilevel"/>
    <w:tmpl w:val="8A7AE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240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45"/>
    <w:rsid w:val="00000C59"/>
    <w:rsid w:val="0000379F"/>
    <w:rsid w:val="0000487D"/>
    <w:rsid w:val="00006505"/>
    <w:rsid w:val="00007651"/>
    <w:rsid w:val="00021BEC"/>
    <w:rsid w:val="000240B5"/>
    <w:rsid w:val="00024B02"/>
    <w:rsid w:val="000469EC"/>
    <w:rsid w:val="000538DA"/>
    <w:rsid w:val="00054D19"/>
    <w:rsid w:val="00070B1D"/>
    <w:rsid w:val="0007364D"/>
    <w:rsid w:val="00076750"/>
    <w:rsid w:val="00083F57"/>
    <w:rsid w:val="0009474E"/>
    <w:rsid w:val="000B2E36"/>
    <w:rsid w:val="000B5330"/>
    <w:rsid w:val="000B56D6"/>
    <w:rsid w:val="000B66A1"/>
    <w:rsid w:val="000D02AD"/>
    <w:rsid w:val="000D03A4"/>
    <w:rsid w:val="000E5F0E"/>
    <w:rsid w:val="000F3943"/>
    <w:rsid w:val="000F4FFE"/>
    <w:rsid w:val="000F5900"/>
    <w:rsid w:val="001134EF"/>
    <w:rsid w:val="00124E56"/>
    <w:rsid w:val="001258DA"/>
    <w:rsid w:val="001365FE"/>
    <w:rsid w:val="0016650D"/>
    <w:rsid w:val="001802B5"/>
    <w:rsid w:val="001877E4"/>
    <w:rsid w:val="001924E5"/>
    <w:rsid w:val="001A218E"/>
    <w:rsid w:val="001A5F82"/>
    <w:rsid w:val="001B01E3"/>
    <w:rsid w:val="001B2735"/>
    <w:rsid w:val="001B5A43"/>
    <w:rsid w:val="001B7EF2"/>
    <w:rsid w:val="001C351F"/>
    <w:rsid w:val="001D06ED"/>
    <w:rsid w:val="001D39B1"/>
    <w:rsid w:val="001D5531"/>
    <w:rsid w:val="001D690D"/>
    <w:rsid w:val="001E1B0A"/>
    <w:rsid w:val="001E492B"/>
    <w:rsid w:val="001F2A8B"/>
    <w:rsid w:val="001F7756"/>
    <w:rsid w:val="002035E9"/>
    <w:rsid w:val="002075B5"/>
    <w:rsid w:val="002133CC"/>
    <w:rsid w:val="0021657D"/>
    <w:rsid w:val="00222922"/>
    <w:rsid w:val="002249DB"/>
    <w:rsid w:val="00235B10"/>
    <w:rsid w:val="00240263"/>
    <w:rsid w:val="0024095E"/>
    <w:rsid w:val="00251568"/>
    <w:rsid w:val="00261A54"/>
    <w:rsid w:val="00262BE7"/>
    <w:rsid w:val="00265BEF"/>
    <w:rsid w:val="00272D00"/>
    <w:rsid w:val="00281A7A"/>
    <w:rsid w:val="0028709D"/>
    <w:rsid w:val="00292044"/>
    <w:rsid w:val="00292C3A"/>
    <w:rsid w:val="0029466D"/>
    <w:rsid w:val="00296997"/>
    <w:rsid w:val="002A5A85"/>
    <w:rsid w:val="002C2B32"/>
    <w:rsid w:val="002D1EBC"/>
    <w:rsid w:val="002D58B9"/>
    <w:rsid w:val="002E146B"/>
    <w:rsid w:val="002E7F1D"/>
    <w:rsid w:val="002F0815"/>
    <w:rsid w:val="002F2939"/>
    <w:rsid w:val="002F7DAF"/>
    <w:rsid w:val="0030066A"/>
    <w:rsid w:val="00306E23"/>
    <w:rsid w:val="0031068A"/>
    <w:rsid w:val="00312753"/>
    <w:rsid w:val="00322011"/>
    <w:rsid w:val="003223EE"/>
    <w:rsid w:val="00326FC0"/>
    <w:rsid w:val="003270E0"/>
    <w:rsid w:val="003275F1"/>
    <w:rsid w:val="00333D73"/>
    <w:rsid w:val="00354CBD"/>
    <w:rsid w:val="00356D4D"/>
    <w:rsid w:val="00374E9C"/>
    <w:rsid w:val="003759DD"/>
    <w:rsid w:val="00383BC7"/>
    <w:rsid w:val="003852EE"/>
    <w:rsid w:val="00391EDD"/>
    <w:rsid w:val="00391EE9"/>
    <w:rsid w:val="003A261B"/>
    <w:rsid w:val="003B0252"/>
    <w:rsid w:val="003D64DB"/>
    <w:rsid w:val="003D76F2"/>
    <w:rsid w:val="003F2693"/>
    <w:rsid w:val="00402C42"/>
    <w:rsid w:val="004053C8"/>
    <w:rsid w:val="004214C3"/>
    <w:rsid w:val="00423375"/>
    <w:rsid w:val="00432A2A"/>
    <w:rsid w:val="00436262"/>
    <w:rsid w:val="00440B5E"/>
    <w:rsid w:val="00440E44"/>
    <w:rsid w:val="00450F38"/>
    <w:rsid w:val="00476EA2"/>
    <w:rsid w:val="00477E55"/>
    <w:rsid w:val="004818F8"/>
    <w:rsid w:val="00483335"/>
    <w:rsid w:val="00483403"/>
    <w:rsid w:val="0048378D"/>
    <w:rsid w:val="0048423B"/>
    <w:rsid w:val="00494F80"/>
    <w:rsid w:val="004965D0"/>
    <w:rsid w:val="004B27B5"/>
    <w:rsid w:val="004D477F"/>
    <w:rsid w:val="004E049A"/>
    <w:rsid w:val="004E1B10"/>
    <w:rsid w:val="004F1E4C"/>
    <w:rsid w:val="004F1F6E"/>
    <w:rsid w:val="004F6722"/>
    <w:rsid w:val="004F7C96"/>
    <w:rsid w:val="0050110C"/>
    <w:rsid w:val="00501852"/>
    <w:rsid w:val="00511CA2"/>
    <w:rsid w:val="00521BE1"/>
    <w:rsid w:val="005266EC"/>
    <w:rsid w:val="005334F8"/>
    <w:rsid w:val="0053378C"/>
    <w:rsid w:val="0054029D"/>
    <w:rsid w:val="00545E14"/>
    <w:rsid w:val="005547BE"/>
    <w:rsid w:val="00561D2E"/>
    <w:rsid w:val="00565ED0"/>
    <w:rsid w:val="00576562"/>
    <w:rsid w:val="00580D2E"/>
    <w:rsid w:val="0058474B"/>
    <w:rsid w:val="005937D9"/>
    <w:rsid w:val="00594F89"/>
    <w:rsid w:val="005A565D"/>
    <w:rsid w:val="005B5726"/>
    <w:rsid w:val="005C3BB9"/>
    <w:rsid w:val="005D4ED4"/>
    <w:rsid w:val="005E2B35"/>
    <w:rsid w:val="005E7DF9"/>
    <w:rsid w:val="00604A17"/>
    <w:rsid w:val="00617C6B"/>
    <w:rsid w:val="00620B77"/>
    <w:rsid w:val="00626674"/>
    <w:rsid w:val="006418EA"/>
    <w:rsid w:val="006452D8"/>
    <w:rsid w:val="00663A59"/>
    <w:rsid w:val="006679F8"/>
    <w:rsid w:val="00670EC8"/>
    <w:rsid w:val="00672160"/>
    <w:rsid w:val="00675A18"/>
    <w:rsid w:val="00692660"/>
    <w:rsid w:val="0069481C"/>
    <w:rsid w:val="006C1C40"/>
    <w:rsid w:val="006C7615"/>
    <w:rsid w:val="006D2B35"/>
    <w:rsid w:val="006D4780"/>
    <w:rsid w:val="006E39BB"/>
    <w:rsid w:val="006E6669"/>
    <w:rsid w:val="006F0C22"/>
    <w:rsid w:val="006F13D0"/>
    <w:rsid w:val="006F55C6"/>
    <w:rsid w:val="006F5C63"/>
    <w:rsid w:val="007127B3"/>
    <w:rsid w:val="00721967"/>
    <w:rsid w:val="0072606C"/>
    <w:rsid w:val="00735C94"/>
    <w:rsid w:val="00740EAA"/>
    <w:rsid w:val="00745C7C"/>
    <w:rsid w:val="00747648"/>
    <w:rsid w:val="007507C8"/>
    <w:rsid w:val="0075235D"/>
    <w:rsid w:val="00752C09"/>
    <w:rsid w:val="007648C2"/>
    <w:rsid w:val="007666B2"/>
    <w:rsid w:val="00766891"/>
    <w:rsid w:val="007719B1"/>
    <w:rsid w:val="00773779"/>
    <w:rsid w:val="00773FF6"/>
    <w:rsid w:val="00776A91"/>
    <w:rsid w:val="00783464"/>
    <w:rsid w:val="00784801"/>
    <w:rsid w:val="007968AB"/>
    <w:rsid w:val="00796FED"/>
    <w:rsid w:val="007A0174"/>
    <w:rsid w:val="007B4E3A"/>
    <w:rsid w:val="007D18E3"/>
    <w:rsid w:val="007D5274"/>
    <w:rsid w:val="007E758D"/>
    <w:rsid w:val="007F4168"/>
    <w:rsid w:val="007F73BB"/>
    <w:rsid w:val="008002C7"/>
    <w:rsid w:val="0080289E"/>
    <w:rsid w:val="0081005B"/>
    <w:rsid w:val="00810536"/>
    <w:rsid w:val="00810B02"/>
    <w:rsid w:val="00817F98"/>
    <w:rsid w:val="008200A8"/>
    <w:rsid w:val="00824CEC"/>
    <w:rsid w:val="008312D1"/>
    <w:rsid w:val="00834315"/>
    <w:rsid w:val="008349D7"/>
    <w:rsid w:val="00841F39"/>
    <w:rsid w:val="00850BEE"/>
    <w:rsid w:val="00852390"/>
    <w:rsid w:val="0087003A"/>
    <w:rsid w:val="00872EBE"/>
    <w:rsid w:val="00880FE8"/>
    <w:rsid w:val="008870B5"/>
    <w:rsid w:val="00891B47"/>
    <w:rsid w:val="008B1100"/>
    <w:rsid w:val="008B43FD"/>
    <w:rsid w:val="008B51FF"/>
    <w:rsid w:val="008C0170"/>
    <w:rsid w:val="008C747C"/>
    <w:rsid w:val="008D4410"/>
    <w:rsid w:val="008D4F8B"/>
    <w:rsid w:val="008E13C2"/>
    <w:rsid w:val="008E36C5"/>
    <w:rsid w:val="008F2932"/>
    <w:rsid w:val="009203B8"/>
    <w:rsid w:val="00935723"/>
    <w:rsid w:val="0093604E"/>
    <w:rsid w:val="00937853"/>
    <w:rsid w:val="0094406C"/>
    <w:rsid w:val="00944E95"/>
    <w:rsid w:val="0096632E"/>
    <w:rsid w:val="00983A7B"/>
    <w:rsid w:val="009965B1"/>
    <w:rsid w:val="009B32EC"/>
    <w:rsid w:val="009B454C"/>
    <w:rsid w:val="009B79DB"/>
    <w:rsid w:val="009C1F18"/>
    <w:rsid w:val="009D5DEC"/>
    <w:rsid w:val="009E6173"/>
    <w:rsid w:val="009F4E5E"/>
    <w:rsid w:val="009F5B4C"/>
    <w:rsid w:val="009F5F9E"/>
    <w:rsid w:val="00A009E7"/>
    <w:rsid w:val="00A036BA"/>
    <w:rsid w:val="00A048CF"/>
    <w:rsid w:val="00A051DC"/>
    <w:rsid w:val="00A101C6"/>
    <w:rsid w:val="00A101C7"/>
    <w:rsid w:val="00A36D5A"/>
    <w:rsid w:val="00A427E8"/>
    <w:rsid w:val="00A45A8F"/>
    <w:rsid w:val="00A47747"/>
    <w:rsid w:val="00A504A9"/>
    <w:rsid w:val="00A53026"/>
    <w:rsid w:val="00A85643"/>
    <w:rsid w:val="00A9117E"/>
    <w:rsid w:val="00A95499"/>
    <w:rsid w:val="00AA7BB4"/>
    <w:rsid w:val="00AB2625"/>
    <w:rsid w:val="00AB3167"/>
    <w:rsid w:val="00AC0AC8"/>
    <w:rsid w:val="00AC38CD"/>
    <w:rsid w:val="00AD1DD7"/>
    <w:rsid w:val="00AD5E32"/>
    <w:rsid w:val="00AD628F"/>
    <w:rsid w:val="00AE24D2"/>
    <w:rsid w:val="00AE2DC3"/>
    <w:rsid w:val="00AE4979"/>
    <w:rsid w:val="00AF0789"/>
    <w:rsid w:val="00AF1589"/>
    <w:rsid w:val="00AF3D6B"/>
    <w:rsid w:val="00AF749C"/>
    <w:rsid w:val="00B00232"/>
    <w:rsid w:val="00B2209B"/>
    <w:rsid w:val="00B30381"/>
    <w:rsid w:val="00B34838"/>
    <w:rsid w:val="00B42ED2"/>
    <w:rsid w:val="00B53007"/>
    <w:rsid w:val="00B62847"/>
    <w:rsid w:val="00B80352"/>
    <w:rsid w:val="00B80CEA"/>
    <w:rsid w:val="00B81A7B"/>
    <w:rsid w:val="00B84434"/>
    <w:rsid w:val="00B85D67"/>
    <w:rsid w:val="00B86C21"/>
    <w:rsid w:val="00B86DA3"/>
    <w:rsid w:val="00B906AD"/>
    <w:rsid w:val="00BA0BB6"/>
    <w:rsid w:val="00BA0F19"/>
    <w:rsid w:val="00BA4FF7"/>
    <w:rsid w:val="00BA5514"/>
    <w:rsid w:val="00BA7612"/>
    <w:rsid w:val="00BB3E76"/>
    <w:rsid w:val="00BC3964"/>
    <w:rsid w:val="00BC5799"/>
    <w:rsid w:val="00BD4441"/>
    <w:rsid w:val="00BE075C"/>
    <w:rsid w:val="00BE3A94"/>
    <w:rsid w:val="00BE4E08"/>
    <w:rsid w:val="00BE69CA"/>
    <w:rsid w:val="00BF10D2"/>
    <w:rsid w:val="00BF3A3A"/>
    <w:rsid w:val="00BF4396"/>
    <w:rsid w:val="00C02CC0"/>
    <w:rsid w:val="00C14773"/>
    <w:rsid w:val="00C214E8"/>
    <w:rsid w:val="00C27375"/>
    <w:rsid w:val="00C34D2B"/>
    <w:rsid w:val="00C409CC"/>
    <w:rsid w:val="00C46913"/>
    <w:rsid w:val="00C52157"/>
    <w:rsid w:val="00C7014D"/>
    <w:rsid w:val="00C74D62"/>
    <w:rsid w:val="00C83170"/>
    <w:rsid w:val="00C850E1"/>
    <w:rsid w:val="00C85FE6"/>
    <w:rsid w:val="00C87653"/>
    <w:rsid w:val="00C96945"/>
    <w:rsid w:val="00CA47F0"/>
    <w:rsid w:val="00CB4ADB"/>
    <w:rsid w:val="00CD5303"/>
    <w:rsid w:val="00CD7C8E"/>
    <w:rsid w:val="00CF0685"/>
    <w:rsid w:val="00CF3880"/>
    <w:rsid w:val="00D04977"/>
    <w:rsid w:val="00D0720F"/>
    <w:rsid w:val="00D1073F"/>
    <w:rsid w:val="00D17E58"/>
    <w:rsid w:val="00D22B0D"/>
    <w:rsid w:val="00D243C9"/>
    <w:rsid w:val="00D306EA"/>
    <w:rsid w:val="00D30B10"/>
    <w:rsid w:val="00D345A8"/>
    <w:rsid w:val="00D35FEB"/>
    <w:rsid w:val="00D36B2F"/>
    <w:rsid w:val="00D409BA"/>
    <w:rsid w:val="00D45674"/>
    <w:rsid w:val="00D54684"/>
    <w:rsid w:val="00D56D3A"/>
    <w:rsid w:val="00D63610"/>
    <w:rsid w:val="00D66648"/>
    <w:rsid w:val="00D84863"/>
    <w:rsid w:val="00D920CF"/>
    <w:rsid w:val="00DB14DC"/>
    <w:rsid w:val="00DB3C8B"/>
    <w:rsid w:val="00DB5D87"/>
    <w:rsid w:val="00DC12EE"/>
    <w:rsid w:val="00DC2EC5"/>
    <w:rsid w:val="00DC6C21"/>
    <w:rsid w:val="00DC747A"/>
    <w:rsid w:val="00DD1826"/>
    <w:rsid w:val="00DD34E7"/>
    <w:rsid w:val="00DE1FC0"/>
    <w:rsid w:val="00DE32DD"/>
    <w:rsid w:val="00DE581E"/>
    <w:rsid w:val="00DE5EBC"/>
    <w:rsid w:val="00DF411E"/>
    <w:rsid w:val="00DF5428"/>
    <w:rsid w:val="00DF7612"/>
    <w:rsid w:val="00E00CC3"/>
    <w:rsid w:val="00E018B9"/>
    <w:rsid w:val="00E17FF3"/>
    <w:rsid w:val="00E25EAD"/>
    <w:rsid w:val="00E30CE1"/>
    <w:rsid w:val="00E34EE5"/>
    <w:rsid w:val="00E514CE"/>
    <w:rsid w:val="00E57005"/>
    <w:rsid w:val="00E5719C"/>
    <w:rsid w:val="00E62CCE"/>
    <w:rsid w:val="00E66720"/>
    <w:rsid w:val="00E67038"/>
    <w:rsid w:val="00E77146"/>
    <w:rsid w:val="00E81FCC"/>
    <w:rsid w:val="00E841E1"/>
    <w:rsid w:val="00E85D7E"/>
    <w:rsid w:val="00E867F1"/>
    <w:rsid w:val="00E86F3E"/>
    <w:rsid w:val="00E911CC"/>
    <w:rsid w:val="00E95143"/>
    <w:rsid w:val="00E964E3"/>
    <w:rsid w:val="00EA2C5D"/>
    <w:rsid w:val="00EA4964"/>
    <w:rsid w:val="00EA7EED"/>
    <w:rsid w:val="00EB2C3C"/>
    <w:rsid w:val="00EB328D"/>
    <w:rsid w:val="00EB407E"/>
    <w:rsid w:val="00EB49A9"/>
    <w:rsid w:val="00EB4C2E"/>
    <w:rsid w:val="00EB633F"/>
    <w:rsid w:val="00EC24BB"/>
    <w:rsid w:val="00ED260F"/>
    <w:rsid w:val="00ED346B"/>
    <w:rsid w:val="00ED4B29"/>
    <w:rsid w:val="00ED5574"/>
    <w:rsid w:val="00ED63EF"/>
    <w:rsid w:val="00EF1E9B"/>
    <w:rsid w:val="00EF211E"/>
    <w:rsid w:val="00EF3619"/>
    <w:rsid w:val="00F024C8"/>
    <w:rsid w:val="00F03F5C"/>
    <w:rsid w:val="00F10479"/>
    <w:rsid w:val="00F162AF"/>
    <w:rsid w:val="00F17793"/>
    <w:rsid w:val="00F3246D"/>
    <w:rsid w:val="00F3614B"/>
    <w:rsid w:val="00F365C6"/>
    <w:rsid w:val="00F379DF"/>
    <w:rsid w:val="00F433A1"/>
    <w:rsid w:val="00F55E66"/>
    <w:rsid w:val="00F76E9A"/>
    <w:rsid w:val="00F95A5F"/>
    <w:rsid w:val="00F96104"/>
    <w:rsid w:val="00F96797"/>
    <w:rsid w:val="00F96A28"/>
    <w:rsid w:val="00FA0CDD"/>
    <w:rsid w:val="00FB1623"/>
    <w:rsid w:val="00FB7DD1"/>
    <w:rsid w:val="00FD41CE"/>
    <w:rsid w:val="00FE151A"/>
    <w:rsid w:val="00FE290F"/>
    <w:rsid w:val="00FE2B87"/>
    <w:rsid w:val="00FE58B0"/>
    <w:rsid w:val="00FE71FB"/>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B833"/>
  <w15:chartTrackingRefBased/>
  <w15:docId w15:val="{45B3538F-CD5A-4694-B861-C0B61D7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EF"/>
  </w:style>
  <w:style w:type="paragraph" w:styleId="Heading1">
    <w:name w:val="heading 1"/>
    <w:basedOn w:val="Normal"/>
    <w:next w:val="Normal"/>
    <w:link w:val="Heading1Char"/>
    <w:uiPriority w:val="9"/>
    <w:qFormat/>
    <w:rsid w:val="00C969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969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694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694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694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9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969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969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694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694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945"/>
    <w:rPr>
      <w:rFonts w:eastAsiaTheme="majorEastAsia" w:cstheme="majorBidi"/>
      <w:color w:val="272727" w:themeColor="text1" w:themeTint="D8"/>
    </w:rPr>
  </w:style>
  <w:style w:type="paragraph" w:styleId="Title">
    <w:name w:val="Title"/>
    <w:basedOn w:val="Normal"/>
    <w:next w:val="Normal"/>
    <w:link w:val="TitleChar"/>
    <w:uiPriority w:val="10"/>
    <w:qFormat/>
    <w:rsid w:val="00C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9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9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6945"/>
    <w:rPr>
      <w:i/>
      <w:iCs/>
      <w:color w:val="404040" w:themeColor="text1" w:themeTint="BF"/>
    </w:rPr>
  </w:style>
  <w:style w:type="paragraph" w:styleId="ListParagraph">
    <w:name w:val="List Paragraph"/>
    <w:basedOn w:val="Normal"/>
    <w:uiPriority w:val="34"/>
    <w:qFormat/>
    <w:rsid w:val="00C96945"/>
    <w:pPr>
      <w:ind w:left="720"/>
      <w:contextualSpacing/>
    </w:pPr>
  </w:style>
  <w:style w:type="character" w:styleId="IntenseEmphasis">
    <w:name w:val="Intense Emphasis"/>
    <w:basedOn w:val="DefaultParagraphFont"/>
    <w:uiPriority w:val="21"/>
    <w:qFormat/>
    <w:rsid w:val="00C96945"/>
    <w:rPr>
      <w:i/>
      <w:iCs/>
      <w:color w:val="365F91" w:themeColor="accent1" w:themeShade="BF"/>
    </w:rPr>
  </w:style>
  <w:style w:type="paragraph" w:styleId="IntenseQuote">
    <w:name w:val="Intense Quote"/>
    <w:basedOn w:val="Normal"/>
    <w:next w:val="Normal"/>
    <w:link w:val="IntenseQuoteChar"/>
    <w:uiPriority w:val="30"/>
    <w:qFormat/>
    <w:rsid w:val="00C969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6945"/>
    <w:rPr>
      <w:i/>
      <w:iCs/>
      <w:color w:val="365F91" w:themeColor="accent1" w:themeShade="BF"/>
    </w:rPr>
  </w:style>
  <w:style w:type="character" w:styleId="IntenseReference">
    <w:name w:val="Intense Reference"/>
    <w:basedOn w:val="DefaultParagraphFont"/>
    <w:uiPriority w:val="32"/>
    <w:qFormat/>
    <w:rsid w:val="00C96945"/>
    <w:rPr>
      <w:b/>
      <w:bCs/>
      <w:smallCaps/>
      <w:color w:val="365F91" w:themeColor="accent1" w:themeShade="BF"/>
      <w:spacing w:val="5"/>
    </w:rPr>
  </w:style>
  <w:style w:type="character" w:styleId="Hyperlink">
    <w:name w:val="Hyperlink"/>
    <w:basedOn w:val="DefaultParagraphFont"/>
    <w:uiPriority w:val="99"/>
    <w:unhideWhenUsed/>
    <w:rsid w:val="009E6173"/>
    <w:rPr>
      <w:color w:val="0000FF" w:themeColor="hyperlink"/>
      <w:u w:val="single"/>
    </w:rPr>
  </w:style>
  <w:style w:type="character" w:styleId="UnresolvedMention">
    <w:name w:val="Unresolved Mention"/>
    <w:basedOn w:val="DefaultParagraphFont"/>
    <w:uiPriority w:val="99"/>
    <w:semiHidden/>
    <w:unhideWhenUsed/>
    <w:rsid w:val="009E6173"/>
    <w:rPr>
      <w:color w:val="605E5C"/>
      <w:shd w:val="clear" w:color="auto" w:fill="E1DFDD"/>
    </w:rPr>
  </w:style>
  <w:style w:type="paragraph" w:customStyle="1" w:styleId="TableParagraph">
    <w:name w:val="Table Paragraph"/>
    <w:basedOn w:val="Normal"/>
    <w:uiPriority w:val="1"/>
    <w:qFormat/>
    <w:rsid w:val="008D4F8B"/>
    <w:pPr>
      <w:widowControl w:val="0"/>
      <w:autoSpaceDE w:val="0"/>
      <w:autoSpaceDN w:val="0"/>
      <w:spacing w:after="0" w:line="240" w:lineRule="auto"/>
      <w:jc w:val="center"/>
    </w:pPr>
    <w:rPr>
      <w:rFonts w:ascii="Times New Roman" w:eastAsia="Times New Roman" w:hAnsi="Times New Roman" w:cs="Times New Roman"/>
      <w:kern w:val="0"/>
      <w:lang w:val="id"/>
    </w:rPr>
  </w:style>
  <w:style w:type="table" w:styleId="TableGrid">
    <w:name w:val="Table Grid"/>
    <w:basedOn w:val="TableNormal"/>
    <w:uiPriority w:val="59"/>
    <w:rsid w:val="00A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1C6"/>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A101C6"/>
    <w:rPr>
      <w:rFonts w:ascii="Times New Roman" w:eastAsia="Times New Roman" w:hAnsi="Times New Roman" w:cs="Times New Roman"/>
      <w:kern w:val="0"/>
      <w:sz w:val="24"/>
      <w:szCs w:val="24"/>
      <w:lang w:val="id"/>
    </w:rPr>
  </w:style>
  <w:style w:type="paragraph" w:styleId="Header">
    <w:name w:val="header"/>
    <w:basedOn w:val="Normal"/>
    <w:link w:val="HeaderChar"/>
    <w:uiPriority w:val="99"/>
    <w:unhideWhenUsed/>
    <w:rsid w:val="001D6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90D"/>
  </w:style>
  <w:style w:type="paragraph" w:styleId="Footer">
    <w:name w:val="footer"/>
    <w:basedOn w:val="Normal"/>
    <w:link w:val="FooterChar"/>
    <w:uiPriority w:val="99"/>
    <w:unhideWhenUsed/>
    <w:rsid w:val="001D6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Utami</dc:creator>
  <cp:keywords/>
  <dc:description/>
  <cp:lastModifiedBy>CN-AK-PAK</cp:lastModifiedBy>
  <cp:revision>3</cp:revision>
  <dcterms:created xsi:type="dcterms:W3CDTF">2026-02-02T17:37:00Z</dcterms:created>
  <dcterms:modified xsi:type="dcterms:W3CDTF">2026-02-02T17:37:00Z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0db3f2bc-6730-44e7-afea-7654091d9d32</vt:lpwstr>
  </property>
</Properties>
</file>