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A328" w14:textId="21949421" w:rsidR="007A017A" w:rsidRPr="00292037" w:rsidRDefault="007A017A" w:rsidP="007A017A">
      <w:pPr>
        <w:pStyle w:val="NormalWeb"/>
        <w:spacing w:line="360" w:lineRule="auto"/>
        <w:jc w:val="center"/>
        <w:rPr>
          <w:b/>
          <w:bCs/>
          <w:i/>
          <w:iCs/>
          <w:lang w:val="en-US"/>
        </w:rPr>
      </w:pPr>
      <w:bookmarkStart w:id="0" w:name="_Hlk212571784"/>
      <w:bookmarkEnd w:id="0"/>
      <w:r w:rsidRPr="00292037">
        <w:rPr>
          <w:b/>
          <w:bCs/>
        </w:rPr>
        <w:t>Effect of Molasses Concentration and Incubation Time on the Quality of Indigenous Probiotics Derived from Black Soldier Fly Larvae</w:t>
      </w:r>
      <w:r w:rsidRPr="00292037">
        <w:rPr>
          <w:b/>
          <w:bCs/>
          <w:lang w:val="en-US"/>
        </w:rPr>
        <w:t xml:space="preserve"> </w:t>
      </w:r>
      <w:r w:rsidRPr="00292037">
        <w:rPr>
          <w:b/>
          <w:bCs/>
          <w:i/>
          <w:iCs/>
          <w:lang w:val="en-US"/>
        </w:rPr>
        <w:t>(</w:t>
      </w:r>
      <w:proofErr w:type="spellStart"/>
      <w:r w:rsidRPr="00292037">
        <w:rPr>
          <w:b/>
          <w:bCs/>
          <w:i/>
          <w:iCs/>
          <w:lang w:val="en-US"/>
        </w:rPr>
        <w:t>Hermetia</w:t>
      </w:r>
      <w:proofErr w:type="spellEnd"/>
      <w:r w:rsidRPr="00292037">
        <w:rPr>
          <w:b/>
          <w:bCs/>
          <w:i/>
          <w:iCs/>
          <w:lang w:val="en-US"/>
        </w:rPr>
        <w:t xml:space="preserve"> </w:t>
      </w:r>
      <w:proofErr w:type="spellStart"/>
      <w:r w:rsidRPr="00292037">
        <w:rPr>
          <w:b/>
          <w:bCs/>
          <w:i/>
          <w:iCs/>
          <w:lang w:val="en-US"/>
        </w:rPr>
        <w:t>illucens</w:t>
      </w:r>
      <w:proofErr w:type="spellEnd"/>
      <w:r w:rsidRPr="00292037">
        <w:rPr>
          <w:b/>
          <w:bCs/>
          <w:i/>
          <w:iCs/>
          <w:lang w:val="en-US"/>
        </w:rPr>
        <w:t>)</w:t>
      </w:r>
    </w:p>
    <w:p w14:paraId="47BEED23" w14:textId="77777777" w:rsidR="0017451F" w:rsidRDefault="007A017A" w:rsidP="007A017A">
      <w:pPr>
        <w:pStyle w:val="NormalWeb"/>
        <w:spacing w:line="360" w:lineRule="auto"/>
        <w:jc w:val="center"/>
        <w:rPr>
          <w:vertAlign w:val="superscript"/>
          <w:lang w:val="en-US"/>
        </w:rPr>
      </w:pPr>
      <w:r w:rsidRPr="0017451F">
        <w:rPr>
          <w:lang w:val="en-US"/>
        </w:rPr>
        <w:t>Muhammad Amran</w:t>
      </w:r>
      <w:r w:rsidRPr="0017451F">
        <w:rPr>
          <w:vertAlign w:val="superscript"/>
          <w:lang w:val="en-US"/>
        </w:rPr>
        <w:t>1*</w:t>
      </w:r>
      <w:r w:rsidR="0017451F" w:rsidRPr="0017451F">
        <w:rPr>
          <w:lang w:val="en-US"/>
        </w:rPr>
        <w:t>,</w:t>
      </w:r>
      <w:r w:rsidR="0017451F">
        <w:rPr>
          <w:lang w:val="en-US"/>
        </w:rPr>
        <w:t xml:space="preserve"> </w:t>
      </w:r>
      <w:r w:rsidRPr="00780324">
        <w:rPr>
          <w:lang w:val="en-US"/>
        </w:rPr>
        <w:t>W</w:t>
      </w:r>
      <w:r w:rsidRPr="0017451F">
        <w:rPr>
          <w:lang w:val="en-US"/>
        </w:rPr>
        <w:t xml:space="preserve">inda </w:t>
      </w:r>
      <w:proofErr w:type="spellStart"/>
      <w:r w:rsidRPr="0017451F">
        <w:rPr>
          <w:lang w:val="en-US"/>
        </w:rPr>
        <w:t>Fansiska</w:t>
      </w:r>
      <w:proofErr w:type="spellEnd"/>
      <w:r w:rsidRPr="0017451F">
        <w:rPr>
          <w:lang w:val="en-US"/>
        </w:rPr>
        <w:t xml:space="preserve"> Saragih</w:t>
      </w:r>
      <w:r w:rsidRPr="0017451F">
        <w:rPr>
          <w:vertAlign w:val="superscript"/>
          <w:lang w:val="en-US"/>
        </w:rPr>
        <w:t>1</w:t>
      </w:r>
      <w:r w:rsidR="0017451F" w:rsidRPr="0017451F">
        <w:rPr>
          <w:lang w:val="en-US"/>
        </w:rPr>
        <w:t>,</w:t>
      </w:r>
      <w:r w:rsidR="0017451F">
        <w:rPr>
          <w:vertAlign w:val="superscript"/>
          <w:lang w:val="en-US"/>
        </w:rPr>
        <w:t xml:space="preserve"> </w:t>
      </w:r>
      <w:r w:rsidRPr="0017451F">
        <w:rPr>
          <w:lang w:val="en-US"/>
        </w:rPr>
        <w:t>Vina Octavia Azzahra</w:t>
      </w:r>
      <w:r w:rsidRPr="0017451F">
        <w:rPr>
          <w:vertAlign w:val="superscript"/>
          <w:lang w:val="en-US"/>
        </w:rPr>
        <w:t>2</w:t>
      </w:r>
      <w:r w:rsidRPr="0017451F">
        <w:rPr>
          <w:lang w:val="en-US"/>
        </w:rPr>
        <w:t>, Ade Trisna</w:t>
      </w:r>
      <w:r w:rsidRPr="0017451F">
        <w:rPr>
          <w:vertAlign w:val="superscript"/>
          <w:lang w:val="en-US"/>
        </w:rPr>
        <w:t>1</w:t>
      </w:r>
      <w:r w:rsidR="0017451F">
        <w:rPr>
          <w:lang w:val="en-US"/>
        </w:rPr>
        <w:t xml:space="preserve"> and </w:t>
      </w:r>
      <w:proofErr w:type="spellStart"/>
      <w:r w:rsidR="008F7094" w:rsidRPr="0017451F">
        <w:rPr>
          <w:lang w:val="en-US"/>
        </w:rPr>
        <w:t>Mhd</w:t>
      </w:r>
      <w:proofErr w:type="spellEnd"/>
      <w:r w:rsidR="008F7094" w:rsidRPr="0017451F">
        <w:rPr>
          <w:lang w:val="en-US"/>
        </w:rPr>
        <w:t xml:space="preserve"> </w:t>
      </w:r>
      <w:proofErr w:type="spellStart"/>
      <w:r w:rsidR="008F7094" w:rsidRPr="0017451F">
        <w:rPr>
          <w:lang w:val="en-US"/>
        </w:rPr>
        <w:t>Adanan</w:t>
      </w:r>
      <w:proofErr w:type="spellEnd"/>
      <w:r w:rsidR="008F7094" w:rsidRPr="0017451F">
        <w:rPr>
          <w:lang w:val="en-US"/>
        </w:rPr>
        <w:t xml:space="preserve"> Purba</w:t>
      </w:r>
      <w:r w:rsidR="008F7094" w:rsidRPr="0017451F">
        <w:rPr>
          <w:vertAlign w:val="superscript"/>
          <w:lang w:val="en-US"/>
        </w:rPr>
        <w:t>1</w:t>
      </w:r>
    </w:p>
    <w:p w14:paraId="2F238BE2" w14:textId="658C0594" w:rsidR="007A017A" w:rsidRPr="00292037" w:rsidRDefault="007A017A" w:rsidP="007A017A">
      <w:pPr>
        <w:pStyle w:val="NormalWeb"/>
        <w:spacing w:line="360" w:lineRule="auto"/>
        <w:jc w:val="center"/>
        <w:rPr>
          <w:rFonts w:eastAsia="DengXian"/>
          <w:bCs/>
          <w:iCs/>
          <w:lang w:val="en-US" w:eastAsia="zh-CN"/>
        </w:rPr>
      </w:pPr>
      <w:r w:rsidRPr="00292037">
        <w:rPr>
          <w:rFonts w:eastAsia="DengXian"/>
          <w:bCs/>
          <w:iCs/>
          <w:vertAlign w:val="superscript"/>
          <w:lang w:val="en-US" w:eastAsia="zh-CN"/>
        </w:rPr>
        <w:t>1</w:t>
      </w:r>
      <w:r w:rsidRPr="00292037">
        <w:rPr>
          <w:rFonts w:eastAsia="DengXian"/>
          <w:bCs/>
          <w:iCs/>
          <w:lang w:val="en-US" w:eastAsia="zh-CN"/>
        </w:rPr>
        <w:t>Program Study of Animal Science, Faculty of Agriculture, Universitas Sumatera Utara, Medan 201</w:t>
      </w:r>
      <w:r w:rsidR="001321C7" w:rsidRPr="00292037">
        <w:rPr>
          <w:rFonts w:eastAsia="DengXian"/>
          <w:bCs/>
          <w:iCs/>
          <w:lang w:val="en-US" w:eastAsia="zh-CN"/>
        </w:rPr>
        <w:t>55</w:t>
      </w:r>
      <w:r w:rsidRPr="00292037">
        <w:rPr>
          <w:rFonts w:eastAsia="DengXian"/>
          <w:bCs/>
          <w:iCs/>
          <w:lang w:val="en-US" w:eastAsia="zh-CN"/>
        </w:rPr>
        <w:t xml:space="preserve">, Indonesia; </w:t>
      </w:r>
      <w:r w:rsidRPr="00292037">
        <w:rPr>
          <w:rFonts w:eastAsia="DengXian"/>
          <w:bCs/>
          <w:iCs/>
          <w:vertAlign w:val="superscript"/>
          <w:lang w:val="en-US" w:eastAsia="zh-CN"/>
        </w:rPr>
        <w:t>2</w:t>
      </w:r>
      <w:r w:rsidR="001321C7" w:rsidRPr="00292037">
        <w:rPr>
          <w:lang w:val="en-US"/>
        </w:rPr>
        <w:t>D</w:t>
      </w:r>
      <w:r w:rsidR="001321C7" w:rsidRPr="00292037">
        <w:rPr>
          <w:rFonts w:eastAsia="DengXian"/>
          <w:bCs/>
          <w:iCs/>
          <w:lang w:val="en-US" w:eastAsia="zh-CN"/>
        </w:rPr>
        <w:t>epartment of Chemistry, Faculty of Mathematics and Natural Science,</w:t>
      </w:r>
      <w:r w:rsidRPr="00292037">
        <w:rPr>
          <w:rFonts w:eastAsia="DengXian"/>
          <w:bCs/>
          <w:iCs/>
          <w:lang w:val="en-US" w:eastAsia="zh-CN"/>
        </w:rPr>
        <w:t xml:space="preserve"> Universitas Sumatera Utara, Medan 20</w:t>
      </w:r>
      <w:r w:rsidR="001321C7" w:rsidRPr="00292037">
        <w:rPr>
          <w:rFonts w:eastAsia="DengXian"/>
          <w:bCs/>
          <w:iCs/>
          <w:lang w:val="en-US" w:eastAsia="zh-CN"/>
        </w:rPr>
        <w:t>155</w:t>
      </w:r>
      <w:r w:rsidRPr="00292037">
        <w:rPr>
          <w:rFonts w:eastAsia="DengXian"/>
          <w:bCs/>
          <w:iCs/>
          <w:lang w:val="en-US" w:eastAsia="zh-CN"/>
        </w:rPr>
        <w:t>, Indonesia</w:t>
      </w:r>
    </w:p>
    <w:p w14:paraId="14CB6F23" w14:textId="53E9AD56" w:rsidR="007A017A" w:rsidRPr="00292037" w:rsidRDefault="007A017A" w:rsidP="0017451F">
      <w:pPr>
        <w:spacing w:after="0" w:line="240" w:lineRule="auto"/>
        <w:jc w:val="both"/>
        <w:rPr>
          <w:rFonts w:ascii="Times New Roman" w:eastAsia="DengXian" w:hAnsi="Times New Roman" w:cs="Times New Roman"/>
          <w:bCs/>
          <w:iCs/>
          <w:sz w:val="24"/>
          <w:szCs w:val="24"/>
          <w:lang w:val="en-US" w:eastAsia="zh-CN"/>
        </w:rPr>
      </w:pPr>
      <w:r w:rsidRPr="00292037">
        <w:rPr>
          <w:rFonts w:ascii="Times New Roman" w:eastAsia="DengXian" w:hAnsi="Times New Roman" w:cs="Times New Roman"/>
          <w:b/>
          <w:iCs/>
          <w:sz w:val="24"/>
          <w:szCs w:val="24"/>
          <w:lang w:val="en-US" w:eastAsia="zh-CN"/>
        </w:rPr>
        <w:t>*</w:t>
      </w:r>
      <w:r w:rsidR="0017451F">
        <w:rPr>
          <w:rFonts w:ascii="Times New Roman" w:eastAsia="DengXian" w:hAnsi="Times New Roman" w:cs="Times New Roman"/>
          <w:b/>
          <w:iCs/>
          <w:sz w:val="24"/>
          <w:szCs w:val="24"/>
          <w:lang w:val="en-US" w:eastAsia="zh-CN"/>
        </w:rPr>
        <w:t>C</w:t>
      </w:r>
      <w:r w:rsidRPr="00292037">
        <w:rPr>
          <w:rFonts w:ascii="Times New Roman" w:eastAsia="DengXian" w:hAnsi="Times New Roman" w:cs="Times New Roman"/>
          <w:b/>
          <w:iCs/>
          <w:sz w:val="24"/>
          <w:szCs w:val="24"/>
          <w:lang w:val="en-US" w:eastAsia="zh-CN"/>
        </w:rPr>
        <w:t xml:space="preserve">orresponding author: </w:t>
      </w:r>
      <w:hyperlink r:id="rId7" w:history="1">
        <w:r w:rsidRPr="00292037">
          <w:rPr>
            <w:rStyle w:val="Hyperlink"/>
            <w:rFonts w:ascii="Times New Roman" w:eastAsia="DengXian" w:hAnsi="Times New Roman" w:cs="Times New Roman"/>
            <w:bCs/>
            <w:iCs/>
            <w:color w:val="auto"/>
            <w:sz w:val="24"/>
            <w:szCs w:val="24"/>
            <w:lang w:val="en-US" w:eastAsia="zh-CN"/>
          </w:rPr>
          <w:t>muhammadamran@usu.ac.id</w:t>
        </w:r>
      </w:hyperlink>
    </w:p>
    <w:p w14:paraId="2DC83BCF" w14:textId="77777777" w:rsidR="00780324" w:rsidRDefault="00780324" w:rsidP="0017451F">
      <w:pPr>
        <w:spacing w:after="0" w:line="240" w:lineRule="auto"/>
        <w:jc w:val="both"/>
        <w:rPr>
          <w:rFonts w:ascii="Times New Roman" w:eastAsia="DengXian" w:hAnsi="Times New Roman" w:cs="Times New Roman"/>
          <w:b/>
          <w:iCs/>
          <w:sz w:val="24"/>
          <w:szCs w:val="24"/>
          <w:lang w:val="en-US" w:eastAsia="zh-CN"/>
        </w:rPr>
      </w:pPr>
    </w:p>
    <w:p w14:paraId="49F4F92A" w14:textId="77777777" w:rsidR="0017451F" w:rsidRDefault="0017451F" w:rsidP="0017451F">
      <w:pPr>
        <w:pStyle w:val="NormalWeb"/>
        <w:spacing w:before="0" w:beforeAutospacing="0" w:after="0" w:afterAutospacing="0"/>
      </w:pPr>
      <w:r w:rsidRPr="00780324">
        <w:rPr>
          <w:lang w:val="en-US"/>
        </w:rPr>
        <w:t>Muhammad Amran</w:t>
      </w:r>
      <w:r>
        <w:rPr>
          <w:lang w:val="en-US"/>
        </w:rPr>
        <w:tab/>
      </w:r>
      <w:r>
        <w:rPr>
          <w:lang w:val="en-US"/>
        </w:rPr>
        <w:tab/>
      </w:r>
      <w:hyperlink r:id="rId8" w:history="1">
        <w:r w:rsidRPr="00780324">
          <w:rPr>
            <w:rStyle w:val="Hyperlink"/>
            <w:color w:val="auto"/>
            <w:lang w:val="en-US"/>
          </w:rPr>
          <w:t>https://orcid.org/0009-0008-7477-3272</w:t>
        </w:r>
      </w:hyperlink>
    </w:p>
    <w:p w14:paraId="4C99C4F2" w14:textId="77777777" w:rsidR="0017451F" w:rsidRDefault="0017451F" w:rsidP="0017451F">
      <w:pPr>
        <w:pStyle w:val="NormalWeb"/>
        <w:spacing w:before="0" w:beforeAutospacing="0" w:after="0" w:afterAutospacing="0"/>
      </w:pPr>
      <w:r w:rsidRPr="0017451F">
        <w:rPr>
          <w:lang w:val="pt-BR"/>
        </w:rPr>
        <w:t>Winda Fansiska Saragih</w:t>
      </w:r>
      <w:r>
        <w:rPr>
          <w:lang w:val="pt-BR"/>
        </w:rPr>
        <w:tab/>
      </w:r>
      <w:hyperlink r:id="rId9" w:history="1">
        <w:r w:rsidRPr="00292037">
          <w:rPr>
            <w:rStyle w:val="Hyperlink"/>
            <w:color w:val="auto"/>
          </w:rPr>
          <w:t>https://orcid.org/0009-0001-0057-373</w:t>
        </w:r>
      </w:hyperlink>
    </w:p>
    <w:p w14:paraId="254D8ABE" w14:textId="77777777" w:rsidR="0017451F" w:rsidRDefault="0017451F" w:rsidP="0017451F">
      <w:pPr>
        <w:pStyle w:val="NormalWeb"/>
        <w:spacing w:before="0" w:beforeAutospacing="0" w:after="0" w:afterAutospacing="0"/>
      </w:pPr>
      <w:r w:rsidRPr="0017451F">
        <w:rPr>
          <w:lang w:val="pt-BR"/>
        </w:rPr>
        <w:t>Vina Octavia Azzahra</w:t>
      </w:r>
      <w:r>
        <w:rPr>
          <w:lang w:val="pt-BR"/>
        </w:rPr>
        <w:tab/>
      </w:r>
      <w:r>
        <w:rPr>
          <w:lang w:val="pt-BR"/>
        </w:rPr>
        <w:tab/>
      </w:r>
      <w:hyperlink r:id="rId10" w:history="1">
        <w:r w:rsidRPr="00292037">
          <w:rPr>
            <w:rStyle w:val="Hyperlink"/>
            <w:color w:val="auto"/>
          </w:rPr>
          <w:t>https://orcid.org/0009-0003-3773-0840</w:t>
        </w:r>
      </w:hyperlink>
    </w:p>
    <w:p w14:paraId="3336564B" w14:textId="77777777" w:rsidR="0017451F" w:rsidRDefault="0017451F" w:rsidP="0017451F">
      <w:pPr>
        <w:pStyle w:val="NormalWeb"/>
        <w:spacing w:before="0" w:beforeAutospacing="0" w:after="0" w:afterAutospacing="0"/>
      </w:pPr>
      <w:r w:rsidRPr="0017451F">
        <w:rPr>
          <w:lang w:val="pt-BR"/>
        </w:rPr>
        <w:t>Ade Trisna</w:t>
      </w:r>
      <w:r>
        <w:rPr>
          <w:lang w:val="pt-BR"/>
        </w:rPr>
        <w:tab/>
      </w:r>
      <w:r>
        <w:rPr>
          <w:lang w:val="pt-BR"/>
        </w:rPr>
        <w:tab/>
      </w:r>
      <w:r>
        <w:rPr>
          <w:lang w:val="pt-BR"/>
        </w:rPr>
        <w:tab/>
      </w:r>
      <w:hyperlink r:id="rId11" w:history="1">
        <w:r w:rsidRPr="00292037">
          <w:rPr>
            <w:rStyle w:val="Hyperlink"/>
            <w:color w:val="auto"/>
          </w:rPr>
          <w:t>https://orcid.org/0000-0002-2233-543X</w:t>
        </w:r>
      </w:hyperlink>
    </w:p>
    <w:p w14:paraId="64C78EA0" w14:textId="78BC0752" w:rsidR="0017451F" w:rsidRDefault="0017451F" w:rsidP="0017451F">
      <w:pPr>
        <w:pStyle w:val="NormalWeb"/>
        <w:spacing w:before="0" w:beforeAutospacing="0" w:after="0" w:afterAutospacing="0"/>
      </w:pPr>
      <w:r w:rsidRPr="0017451F">
        <w:rPr>
          <w:lang w:val="pt-BR"/>
        </w:rPr>
        <w:t>Mhd Adanan Purba</w:t>
      </w:r>
      <w:r w:rsidRPr="0017451F">
        <w:rPr>
          <w:lang w:val="pt-BR"/>
        </w:rPr>
        <w:tab/>
      </w:r>
      <w:r w:rsidRPr="0017451F">
        <w:rPr>
          <w:lang w:val="pt-BR"/>
        </w:rPr>
        <w:tab/>
      </w:r>
      <w:hyperlink r:id="rId12" w:history="1">
        <w:r w:rsidRPr="0017451F">
          <w:rPr>
            <w:rStyle w:val="Hyperlink"/>
            <w:color w:val="auto"/>
            <w:lang w:val="pt-BR"/>
          </w:rPr>
          <w:t>https://orcid.org/0000-0001-8515-0750</w:t>
        </w:r>
      </w:hyperlink>
    </w:p>
    <w:p w14:paraId="11930CE2" w14:textId="77777777" w:rsidR="0017451F" w:rsidRDefault="0017451F" w:rsidP="0017451F">
      <w:pPr>
        <w:pStyle w:val="NormalWeb"/>
        <w:spacing w:before="0" w:beforeAutospacing="0" w:after="0" w:afterAutospacing="0"/>
      </w:pPr>
    </w:p>
    <w:p w14:paraId="1268E81F" w14:textId="41DEE19B" w:rsidR="0017451F" w:rsidRPr="0017451F" w:rsidRDefault="0017451F" w:rsidP="0017451F">
      <w:pPr>
        <w:pStyle w:val="NormalWeb"/>
        <w:spacing w:before="0" w:beforeAutospacing="0" w:after="0" w:afterAutospacing="0"/>
        <w:rPr>
          <w:lang w:val="pt-BR"/>
        </w:rPr>
      </w:pPr>
      <w:r>
        <w:t>09-Dec-26; 23-Apr-26</w:t>
      </w:r>
    </w:p>
    <w:p w14:paraId="57B60DC8" w14:textId="77777777" w:rsidR="0017451F" w:rsidRPr="0017451F" w:rsidRDefault="0017451F" w:rsidP="007A017A">
      <w:pPr>
        <w:spacing w:after="0" w:line="240" w:lineRule="auto"/>
        <w:jc w:val="both"/>
        <w:rPr>
          <w:rFonts w:ascii="Times New Roman" w:eastAsia="DengXian" w:hAnsi="Times New Roman" w:cs="Times New Roman"/>
          <w:b/>
          <w:iCs/>
          <w:sz w:val="24"/>
          <w:szCs w:val="24"/>
          <w:lang w:val="pt-BR" w:eastAsia="zh-CN"/>
        </w:rPr>
      </w:pPr>
    </w:p>
    <w:p w14:paraId="19CB2E08" w14:textId="233E72D6" w:rsidR="007A017A" w:rsidRPr="00292037" w:rsidRDefault="007A017A" w:rsidP="007A017A">
      <w:pPr>
        <w:spacing w:after="0" w:line="240" w:lineRule="auto"/>
        <w:jc w:val="both"/>
        <w:rPr>
          <w:rFonts w:ascii="Times New Roman" w:eastAsia="DengXian" w:hAnsi="Times New Roman" w:cs="Times New Roman"/>
          <w:b/>
          <w:iCs/>
          <w:sz w:val="24"/>
          <w:szCs w:val="24"/>
          <w:lang w:val="en-US" w:eastAsia="zh-CN"/>
        </w:rPr>
      </w:pPr>
      <w:r w:rsidRPr="00292037">
        <w:rPr>
          <w:rFonts w:ascii="Times New Roman" w:eastAsia="DengXian" w:hAnsi="Times New Roman" w:cs="Times New Roman"/>
          <w:b/>
          <w:iCs/>
          <w:sz w:val="24"/>
          <w:szCs w:val="24"/>
          <w:lang w:val="en-US" w:eastAsia="zh-CN"/>
        </w:rPr>
        <w:t>Abstract</w:t>
      </w:r>
    </w:p>
    <w:p w14:paraId="5CF5F613" w14:textId="219F1711" w:rsidR="003128AF" w:rsidRPr="00292037" w:rsidRDefault="0056180B" w:rsidP="007A017A">
      <w:pPr>
        <w:pStyle w:val="NormalWeb"/>
        <w:spacing w:before="0" w:beforeAutospacing="0" w:after="0" w:afterAutospacing="0" w:line="360" w:lineRule="auto"/>
        <w:ind w:firstLine="720"/>
        <w:jc w:val="both"/>
        <w:rPr>
          <w:lang w:val="en-US"/>
        </w:rPr>
      </w:pPr>
      <w:r w:rsidRPr="00292037">
        <w:rPr>
          <w:lang w:val="en-US"/>
        </w:rPr>
        <w:t xml:space="preserve">With the prohibition of antibiotic growth promoters (AGPs), this study introduces an innovative approach </w:t>
      </w:r>
      <w:r w:rsidR="0017451F">
        <w:rPr>
          <w:lang w:val="en-US"/>
        </w:rPr>
        <w:t>by developing</w:t>
      </w:r>
      <w:r w:rsidRPr="00292037">
        <w:rPr>
          <w:lang w:val="en-US"/>
        </w:rPr>
        <w:t xml:space="preserve"> local probiotics derived from Black Soldier Fly (</w:t>
      </w:r>
      <w:proofErr w:type="spellStart"/>
      <w:r w:rsidRPr="00292037">
        <w:rPr>
          <w:i/>
          <w:iCs/>
          <w:lang w:val="en-US"/>
        </w:rPr>
        <w:t>Hermetia</w:t>
      </w:r>
      <w:proofErr w:type="spellEnd"/>
      <w:r w:rsidRPr="00292037">
        <w:rPr>
          <w:i/>
          <w:iCs/>
          <w:lang w:val="en-US"/>
        </w:rPr>
        <w:t xml:space="preserve"> </w:t>
      </w:r>
      <w:proofErr w:type="spellStart"/>
      <w:r w:rsidRPr="00292037">
        <w:rPr>
          <w:i/>
          <w:iCs/>
          <w:lang w:val="en-US"/>
        </w:rPr>
        <w:t>illucens</w:t>
      </w:r>
      <w:proofErr w:type="spellEnd"/>
      <w:r w:rsidRPr="00292037">
        <w:rPr>
          <w:lang w:val="en-US"/>
        </w:rPr>
        <w:t>) larvae as a sustainable alternative for livestock production system</w:t>
      </w:r>
      <w:r w:rsidR="001C39AE" w:rsidRPr="00292037">
        <w:rPr>
          <w:lang w:val="en-US"/>
        </w:rPr>
        <w:t>s</w:t>
      </w:r>
      <w:r w:rsidRPr="00292037">
        <w:rPr>
          <w:lang w:val="en-US"/>
        </w:rPr>
        <w:t>. This research aimed to determine the effects of molasses concentration and incubation time on the quality of indigenous probiotics produced f</w:t>
      </w:r>
      <w:r w:rsidR="001C39AE" w:rsidRPr="00292037">
        <w:rPr>
          <w:lang w:val="en-US"/>
        </w:rPr>
        <w:t>ro</w:t>
      </w:r>
      <w:r w:rsidRPr="00292037">
        <w:rPr>
          <w:lang w:val="en-US"/>
        </w:rPr>
        <w:t>m BSF larvae. A completely randomized factorial design was employed, consisting of factor A (molasses concentration: A1 = 0%, A2 = 50%, A3 = 100%, v/w, volume of molasses per weight of BSF larvae paste) and factor B (incubation time: B1 = 5 days, B2 = 10 days, B3 = 15 days), with three replications per treatment. Observed parameters included pH, total titratable acidity (TTA), and microbial populations of lacti</w:t>
      </w:r>
      <w:r w:rsidR="006D4397" w:rsidRPr="00292037">
        <w:rPr>
          <w:lang w:val="en-US"/>
        </w:rPr>
        <w:t>c</w:t>
      </w:r>
      <w:r w:rsidRPr="00292037">
        <w:rPr>
          <w:lang w:val="en-US"/>
        </w:rPr>
        <w:t xml:space="preserve"> acid bacteria (LAB), </w:t>
      </w:r>
      <w:r w:rsidRPr="00292037">
        <w:rPr>
          <w:i/>
          <w:iCs/>
          <w:lang w:val="en-US"/>
        </w:rPr>
        <w:t>Actinomycetes, Bacillus</w:t>
      </w:r>
      <w:r w:rsidRPr="00292037">
        <w:rPr>
          <w:lang w:val="en-US"/>
        </w:rPr>
        <w:t xml:space="preserve"> sp</w:t>
      </w:r>
      <w:r w:rsidR="001C39AE" w:rsidRPr="00292037">
        <w:rPr>
          <w:lang w:val="en-US"/>
        </w:rPr>
        <w:t>.</w:t>
      </w:r>
      <w:r w:rsidRPr="00292037">
        <w:rPr>
          <w:lang w:val="en-US"/>
        </w:rPr>
        <w:t xml:space="preserve">, and yeast. The results </w:t>
      </w:r>
      <w:r w:rsidR="006D4397" w:rsidRPr="00292037">
        <w:rPr>
          <w:lang w:val="en-US"/>
        </w:rPr>
        <w:t>revealed a significant interaction (P</w:t>
      </w:r>
      <w:r w:rsidR="00C8085C" w:rsidRPr="00292037">
        <w:rPr>
          <w:lang w:val="en-US"/>
        </w:rPr>
        <w:t>&lt;</w:t>
      </w:r>
      <w:r w:rsidR="006D4397" w:rsidRPr="00292037">
        <w:rPr>
          <w:lang w:val="en-US"/>
        </w:rPr>
        <w:t>0.05) between molasses concentration and incubation time on all measured parameters. Overall, increasing molasses concentration and incubation time decreased pH while increasing TTA and microbial populations. The optimal condition was obtained in treatment A2B2 (50% v/w molasses and 10</w:t>
      </w:r>
      <w:r w:rsidR="002D3BA7" w:rsidRPr="00292037">
        <w:rPr>
          <w:lang w:val="en-US"/>
        </w:rPr>
        <w:t>-</w:t>
      </w:r>
      <w:r w:rsidR="006D4397" w:rsidRPr="00292037">
        <w:rPr>
          <w:lang w:val="en-US"/>
        </w:rPr>
        <w:t>day</w:t>
      </w:r>
      <w:r w:rsidR="002D3BA7" w:rsidRPr="00292037">
        <w:rPr>
          <w:lang w:val="en-US"/>
        </w:rPr>
        <w:t xml:space="preserve"> </w:t>
      </w:r>
      <w:r w:rsidR="006D4397" w:rsidRPr="00292037">
        <w:rPr>
          <w:lang w:val="en-US"/>
        </w:rPr>
        <w:t>incubation), producing probiotics with a pH</w:t>
      </w:r>
      <w:r w:rsidR="001C39AE" w:rsidRPr="00292037">
        <w:rPr>
          <w:lang w:val="en-US"/>
        </w:rPr>
        <w:t xml:space="preserve"> </w:t>
      </w:r>
      <w:r w:rsidR="006D4397" w:rsidRPr="00292037">
        <w:rPr>
          <w:lang w:val="en-US"/>
        </w:rPr>
        <w:t>of 3.91, TTA of 2.43%, LAB population of 21.17</w:t>
      </w:r>
      <w:r w:rsidR="001C39AE" w:rsidRPr="00292037">
        <w:rPr>
          <w:lang w:val="en-ID" w:eastAsia="en-ID"/>
        </w:rPr>
        <w:t>×</w:t>
      </w:r>
      <w:r w:rsidR="006D4397" w:rsidRPr="00292037">
        <w:rPr>
          <w:lang w:val="en-US"/>
        </w:rPr>
        <w:t>10</w:t>
      </w:r>
      <w:r w:rsidR="006D4397" w:rsidRPr="00292037">
        <w:rPr>
          <w:vertAlign w:val="superscript"/>
          <w:lang w:val="en-US"/>
        </w:rPr>
        <w:t>7</w:t>
      </w:r>
      <w:r w:rsidR="006D4397" w:rsidRPr="00292037">
        <w:rPr>
          <w:lang w:val="en-US"/>
        </w:rPr>
        <w:t>CFU/mL</w:t>
      </w:r>
      <w:r w:rsidR="006D4397" w:rsidRPr="00292037">
        <w:rPr>
          <w:i/>
          <w:iCs/>
          <w:lang w:val="en-US"/>
        </w:rPr>
        <w:t>, Actinomycetes</w:t>
      </w:r>
      <w:r w:rsidR="006D4397" w:rsidRPr="00292037">
        <w:rPr>
          <w:lang w:val="en-US"/>
        </w:rPr>
        <w:t xml:space="preserve"> population of 3.90</w:t>
      </w:r>
      <w:r w:rsidR="00C8085C" w:rsidRPr="00292037">
        <w:rPr>
          <w:lang w:val="en-US"/>
        </w:rPr>
        <w:t>×</w:t>
      </w:r>
      <w:r w:rsidR="006D4397" w:rsidRPr="00292037">
        <w:rPr>
          <w:lang w:val="en-US"/>
        </w:rPr>
        <w:t>10</w:t>
      </w:r>
      <w:r w:rsidR="006D4397" w:rsidRPr="00292037">
        <w:rPr>
          <w:vertAlign w:val="superscript"/>
          <w:lang w:val="en-US"/>
        </w:rPr>
        <w:t>7</w:t>
      </w:r>
      <w:r w:rsidR="006D4397" w:rsidRPr="00292037">
        <w:rPr>
          <w:lang w:val="en-US"/>
        </w:rPr>
        <w:t xml:space="preserve">CFU/mL, </w:t>
      </w:r>
      <w:r w:rsidR="006D4397" w:rsidRPr="00292037">
        <w:rPr>
          <w:i/>
          <w:iCs/>
          <w:lang w:val="en-US"/>
        </w:rPr>
        <w:t xml:space="preserve">Bacillus </w:t>
      </w:r>
      <w:r w:rsidR="006D4397" w:rsidRPr="00292037">
        <w:rPr>
          <w:lang w:val="en-US"/>
        </w:rPr>
        <w:t>sp. population of 2.83</w:t>
      </w:r>
      <w:r w:rsidR="00C8085C" w:rsidRPr="00292037">
        <w:rPr>
          <w:lang w:val="en-US"/>
        </w:rPr>
        <w:t>×</w:t>
      </w:r>
      <w:r w:rsidR="006D4397" w:rsidRPr="00292037">
        <w:rPr>
          <w:lang w:val="en-US"/>
        </w:rPr>
        <w:t>10</w:t>
      </w:r>
      <w:r w:rsidR="006D4397" w:rsidRPr="00292037">
        <w:rPr>
          <w:vertAlign w:val="superscript"/>
          <w:lang w:val="en-US"/>
        </w:rPr>
        <w:t>7</w:t>
      </w:r>
      <w:r w:rsidR="006D4397" w:rsidRPr="00292037">
        <w:rPr>
          <w:lang w:val="en-US"/>
        </w:rPr>
        <w:t>CFU/mL</w:t>
      </w:r>
      <w:r w:rsidR="001C39AE" w:rsidRPr="00292037">
        <w:rPr>
          <w:lang w:val="en-US"/>
        </w:rPr>
        <w:t>,</w:t>
      </w:r>
      <w:r w:rsidR="006D4397" w:rsidRPr="00292037">
        <w:rPr>
          <w:lang w:val="en-US"/>
        </w:rPr>
        <w:t xml:space="preserve"> and yeast population of 3.83</w:t>
      </w:r>
      <w:r w:rsidR="00C8085C" w:rsidRPr="00292037">
        <w:rPr>
          <w:lang w:val="en-US"/>
        </w:rPr>
        <w:t>×</w:t>
      </w:r>
      <w:r w:rsidR="006D4397" w:rsidRPr="00292037">
        <w:rPr>
          <w:lang w:val="en-US"/>
        </w:rPr>
        <w:t>10</w:t>
      </w:r>
      <w:r w:rsidR="006D4397" w:rsidRPr="00292037">
        <w:rPr>
          <w:vertAlign w:val="superscript"/>
          <w:lang w:val="en-US"/>
        </w:rPr>
        <w:t>7</w:t>
      </w:r>
      <w:r w:rsidR="006D4397" w:rsidRPr="00292037">
        <w:rPr>
          <w:lang w:val="en-US"/>
        </w:rPr>
        <w:t>CFU/</w:t>
      </w:r>
      <w:proofErr w:type="spellStart"/>
      <w:r w:rsidR="006D4397" w:rsidRPr="00292037">
        <w:rPr>
          <w:lang w:val="en-US"/>
        </w:rPr>
        <w:t>mL</w:t>
      </w:r>
      <w:r w:rsidR="001C39AE" w:rsidRPr="00292037">
        <w:rPr>
          <w:lang w:val="en-US"/>
        </w:rPr>
        <w:t>.</w:t>
      </w:r>
      <w:proofErr w:type="spellEnd"/>
      <w:r w:rsidR="001C39AE" w:rsidRPr="00292037">
        <w:rPr>
          <w:lang w:val="en-US"/>
        </w:rPr>
        <w:t xml:space="preserve"> I</w:t>
      </w:r>
      <w:r w:rsidR="006D4397" w:rsidRPr="00292037">
        <w:rPr>
          <w:lang w:val="en-US"/>
        </w:rPr>
        <w:t>n conclusion, the combination of 50%</w:t>
      </w:r>
      <w:r w:rsidR="00C8085C" w:rsidRPr="00292037">
        <w:rPr>
          <w:lang w:val="en-US"/>
        </w:rPr>
        <w:t xml:space="preserve"> </w:t>
      </w:r>
      <w:r w:rsidR="006D4397" w:rsidRPr="00292037">
        <w:rPr>
          <w:lang w:val="en-US"/>
        </w:rPr>
        <w:t>v/w molasses and 10</w:t>
      </w:r>
      <w:r w:rsidR="001C39AE" w:rsidRPr="00292037">
        <w:rPr>
          <w:lang w:val="en-US"/>
        </w:rPr>
        <w:t>-</w:t>
      </w:r>
      <w:r w:rsidR="006D4397" w:rsidRPr="00292037">
        <w:rPr>
          <w:lang w:val="en-US"/>
        </w:rPr>
        <w:t>day</w:t>
      </w:r>
      <w:r w:rsidR="001C39AE" w:rsidRPr="00292037">
        <w:rPr>
          <w:lang w:val="en-US"/>
        </w:rPr>
        <w:t xml:space="preserve"> </w:t>
      </w:r>
      <w:r w:rsidR="006D4397" w:rsidRPr="00292037">
        <w:rPr>
          <w:lang w:val="en-US"/>
        </w:rPr>
        <w:t xml:space="preserve">incubation </w:t>
      </w:r>
      <w:r w:rsidR="006D4397" w:rsidRPr="00292037">
        <w:rPr>
          <w:lang w:val="en-US"/>
        </w:rPr>
        <w:lastRenderedPageBreak/>
        <w:t>time enhanced microbial growth and fermentation eff</w:t>
      </w:r>
      <w:r w:rsidR="001C39AE" w:rsidRPr="00292037">
        <w:rPr>
          <w:lang w:val="en-US"/>
        </w:rPr>
        <w:t>i</w:t>
      </w:r>
      <w:r w:rsidR="006D4397" w:rsidRPr="00292037">
        <w:rPr>
          <w:lang w:val="en-US"/>
        </w:rPr>
        <w:t>ci</w:t>
      </w:r>
      <w:r w:rsidR="001C39AE" w:rsidRPr="00292037">
        <w:rPr>
          <w:lang w:val="en-US"/>
        </w:rPr>
        <w:t>e</w:t>
      </w:r>
      <w:r w:rsidR="006D4397" w:rsidRPr="00292037">
        <w:rPr>
          <w:lang w:val="en-US"/>
        </w:rPr>
        <w:t>ncy, producing a promising indigenous probiotic from BSF larvae.</w:t>
      </w:r>
    </w:p>
    <w:p w14:paraId="6559216C" w14:textId="3A2D4DF9" w:rsidR="007A017A" w:rsidRPr="00292037" w:rsidRDefault="007A017A" w:rsidP="007A017A">
      <w:pPr>
        <w:pStyle w:val="NormalWeb"/>
        <w:spacing w:before="0" w:beforeAutospacing="0" w:after="0" w:afterAutospacing="0" w:line="360" w:lineRule="auto"/>
        <w:jc w:val="both"/>
        <w:rPr>
          <w:lang w:val="en-ID" w:eastAsia="en-ID"/>
        </w:rPr>
      </w:pPr>
      <w:r w:rsidRPr="00292037">
        <w:rPr>
          <w:b/>
          <w:bCs/>
          <w:lang w:val="en-ID" w:eastAsia="en-ID"/>
        </w:rPr>
        <w:t>Keywords:</w:t>
      </w:r>
      <w:r w:rsidRPr="00292037">
        <w:rPr>
          <w:lang w:val="en-ID" w:eastAsia="en-ID"/>
        </w:rPr>
        <w:t xml:space="preserve"> </w:t>
      </w:r>
      <w:r w:rsidRPr="00292037">
        <w:t xml:space="preserve">Probiotic quality, </w:t>
      </w:r>
      <w:r w:rsidRPr="00292037">
        <w:rPr>
          <w:rStyle w:val="Emphasis"/>
        </w:rPr>
        <w:t>Black Soldier Fly</w:t>
      </w:r>
      <w:r w:rsidRPr="00292037">
        <w:t xml:space="preserve"> larvae, molasses concentration, incubation time</w:t>
      </w:r>
    </w:p>
    <w:p w14:paraId="186E5A2F" w14:textId="77777777" w:rsidR="00C8085C" w:rsidRPr="00292037" w:rsidRDefault="00C8085C" w:rsidP="001B2867">
      <w:pPr>
        <w:pStyle w:val="NormalWeb"/>
        <w:spacing w:before="0" w:beforeAutospacing="0" w:after="0" w:afterAutospacing="0" w:line="360" w:lineRule="auto"/>
        <w:jc w:val="both"/>
        <w:rPr>
          <w:b/>
          <w:bCs/>
          <w:lang w:val="en-ID" w:eastAsia="en-ID"/>
        </w:rPr>
      </w:pPr>
    </w:p>
    <w:p w14:paraId="6007FDFC" w14:textId="2F5CDBF0" w:rsidR="007A017A" w:rsidRPr="00292037" w:rsidRDefault="007A017A" w:rsidP="001B2867">
      <w:pPr>
        <w:pStyle w:val="NormalWeb"/>
        <w:spacing w:before="0" w:beforeAutospacing="0" w:after="0" w:afterAutospacing="0" w:line="360" w:lineRule="auto"/>
        <w:jc w:val="both"/>
        <w:rPr>
          <w:b/>
          <w:bCs/>
          <w:lang w:val="en-ID" w:eastAsia="en-ID"/>
        </w:rPr>
      </w:pPr>
      <w:r w:rsidRPr="00292037">
        <w:rPr>
          <w:b/>
          <w:bCs/>
          <w:lang w:val="en-ID" w:eastAsia="en-ID"/>
        </w:rPr>
        <w:t>Introduction</w:t>
      </w:r>
    </w:p>
    <w:p w14:paraId="48736447" w14:textId="1656222F" w:rsidR="00C920E1" w:rsidRPr="00292037" w:rsidRDefault="007A017A" w:rsidP="00EB474A">
      <w:pPr>
        <w:spacing w:after="0" w:line="360" w:lineRule="auto"/>
        <w:ind w:firstLine="720"/>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Global challenges in food security and sustainable livestock production have intensified the need for innovative technologies that are both economically viable and environmentally responsible. Among the key priorities is </w:t>
      </w:r>
      <w:r w:rsidR="006131D6">
        <w:rPr>
          <w:rFonts w:ascii="Times New Roman" w:eastAsia="Times New Roman" w:hAnsi="Times New Roman" w:cs="Times New Roman"/>
          <w:sz w:val="24"/>
          <w:szCs w:val="24"/>
          <w:lang w:eastAsia="en-ID"/>
        </w:rPr>
        <w:t>reducing</w:t>
      </w:r>
      <w:r w:rsidRPr="00292037">
        <w:rPr>
          <w:rFonts w:ascii="Times New Roman" w:eastAsia="Times New Roman" w:hAnsi="Times New Roman" w:cs="Times New Roman"/>
          <w:sz w:val="24"/>
          <w:szCs w:val="24"/>
          <w:lang w:eastAsia="en-ID"/>
        </w:rPr>
        <w:t xml:space="preserve"> feed costs, which account for approximately 70% of total livestock production expenses (</w:t>
      </w:r>
      <w:r w:rsidR="005B788C" w:rsidRPr="00292037">
        <w:rPr>
          <w:rFonts w:ascii="Times New Roman" w:eastAsia="Times New Roman" w:hAnsi="Times New Roman" w:cs="Times New Roman"/>
          <w:sz w:val="24"/>
          <w:szCs w:val="24"/>
          <w:lang w:eastAsia="en-ID"/>
        </w:rPr>
        <w:t>Amran</w:t>
      </w:r>
      <w:r w:rsidRPr="00292037">
        <w:rPr>
          <w:rFonts w:ascii="Times New Roman" w:eastAsia="Times New Roman" w:hAnsi="Times New Roman" w:cs="Times New Roman"/>
          <w:sz w:val="24"/>
          <w:szCs w:val="24"/>
          <w:lang w:eastAsia="en-ID"/>
        </w:rPr>
        <w:t xml:space="preserve"> et al., 202</w:t>
      </w:r>
      <w:r w:rsidR="005B788C" w:rsidRPr="00292037">
        <w:rPr>
          <w:rFonts w:ascii="Times New Roman" w:eastAsia="Times New Roman" w:hAnsi="Times New Roman" w:cs="Times New Roman"/>
          <w:sz w:val="24"/>
          <w:szCs w:val="24"/>
          <w:lang w:eastAsia="en-ID"/>
        </w:rPr>
        <w:t>1</w:t>
      </w:r>
      <w:r w:rsidRPr="00292037">
        <w:rPr>
          <w:rFonts w:ascii="Times New Roman" w:eastAsia="Times New Roman" w:hAnsi="Times New Roman" w:cs="Times New Roman"/>
          <w:sz w:val="24"/>
          <w:szCs w:val="24"/>
          <w:lang w:eastAsia="en-ID"/>
        </w:rPr>
        <w:t>). This economic burden has driven efforts to develop alternative feed additives that can enhance growth performance while maintaining animal health. Traditionally, antibiotic growth promoters (AGPs) have been widely used to improve feed efficiency and stimulate immune function in livestock (</w:t>
      </w:r>
      <w:r w:rsidR="00F94A82" w:rsidRPr="00292037">
        <w:rPr>
          <w:rFonts w:ascii="Times New Roman" w:eastAsia="Times New Roman" w:hAnsi="Times New Roman" w:cs="Times New Roman"/>
          <w:sz w:val="24"/>
          <w:szCs w:val="24"/>
          <w:lang w:eastAsia="en-ID"/>
        </w:rPr>
        <w:t xml:space="preserve">Coniglio et al., 2023; </w:t>
      </w:r>
      <w:r w:rsidR="005B788C" w:rsidRPr="00292037">
        <w:rPr>
          <w:rFonts w:ascii="Times New Roman" w:eastAsia="Times New Roman" w:hAnsi="Times New Roman" w:cs="Times New Roman"/>
          <w:sz w:val="24"/>
          <w:szCs w:val="24"/>
          <w:lang w:eastAsia="en-ID"/>
        </w:rPr>
        <w:t>Peng</w:t>
      </w:r>
      <w:r w:rsidRPr="00292037">
        <w:rPr>
          <w:rFonts w:ascii="Times New Roman" w:eastAsia="Times New Roman" w:hAnsi="Times New Roman" w:cs="Times New Roman"/>
          <w:sz w:val="24"/>
          <w:szCs w:val="24"/>
          <w:lang w:eastAsia="en-ID"/>
        </w:rPr>
        <w:t xml:space="preserve"> et al., 20</w:t>
      </w:r>
      <w:r w:rsidR="005B788C" w:rsidRPr="00292037">
        <w:rPr>
          <w:rFonts w:ascii="Times New Roman" w:eastAsia="Times New Roman" w:hAnsi="Times New Roman" w:cs="Times New Roman"/>
          <w:sz w:val="24"/>
          <w:szCs w:val="24"/>
          <w:lang w:eastAsia="en-ID"/>
        </w:rPr>
        <w:t>24</w:t>
      </w:r>
      <w:r w:rsidRPr="00292037">
        <w:rPr>
          <w:rFonts w:ascii="Times New Roman" w:eastAsia="Times New Roman" w:hAnsi="Times New Roman" w:cs="Times New Roman"/>
          <w:sz w:val="24"/>
          <w:szCs w:val="24"/>
          <w:lang w:eastAsia="en-ID"/>
        </w:rPr>
        <w:t>). However, the long-term use of AGPs has raised serious concerns due to the emergence of antibiotic-resistant pathogens and residual contamination in animal-derived food products (</w:t>
      </w:r>
      <w:proofErr w:type="spellStart"/>
      <w:r w:rsidR="005B788C" w:rsidRPr="00292037">
        <w:rPr>
          <w:rFonts w:ascii="Times New Roman" w:eastAsia="Times New Roman" w:hAnsi="Times New Roman" w:cs="Times New Roman"/>
          <w:sz w:val="24"/>
          <w:szCs w:val="24"/>
          <w:lang w:eastAsia="en-ID"/>
        </w:rPr>
        <w:t>Okaiyeto</w:t>
      </w:r>
      <w:proofErr w:type="spellEnd"/>
      <w:r w:rsidRPr="00292037">
        <w:rPr>
          <w:rFonts w:ascii="Times New Roman" w:eastAsia="Times New Roman" w:hAnsi="Times New Roman" w:cs="Times New Roman"/>
          <w:sz w:val="24"/>
          <w:szCs w:val="24"/>
          <w:lang w:eastAsia="en-ID"/>
        </w:rPr>
        <w:t xml:space="preserve"> et al., 2013</w:t>
      </w:r>
      <w:r w:rsidR="00DC649F" w:rsidRPr="00292037">
        <w:rPr>
          <w:rFonts w:ascii="Times New Roman" w:eastAsia="Times New Roman" w:hAnsi="Times New Roman" w:cs="Times New Roman"/>
          <w:sz w:val="24"/>
          <w:szCs w:val="24"/>
          <w:lang w:eastAsia="en-ID"/>
        </w:rPr>
        <w:t xml:space="preserve">; </w:t>
      </w:r>
      <w:proofErr w:type="spellStart"/>
      <w:r w:rsidR="00DC649F" w:rsidRPr="00292037">
        <w:rPr>
          <w:rFonts w:ascii="Times New Roman" w:eastAsia="Times New Roman" w:hAnsi="Times New Roman" w:cs="Times New Roman"/>
          <w:sz w:val="24"/>
          <w:szCs w:val="24"/>
          <w:lang w:eastAsia="en-ID"/>
        </w:rPr>
        <w:t>Bahmid</w:t>
      </w:r>
      <w:proofErr w:type="spellEnd"/>
      <w:r w:rsidR="00DC649F" w:rsidRPr="00292037">
        <w:rPr>
          <w:rFonts w:ascii="Times New Roman" w:eastAsia="Times New Roman" w:hAnsi="Times New Roman" w:cs="Times New Roman"/>
          <w:sz w:val="24"/>
          <w:szCs w:val="24"/>
          <w:lang w:eastAsia="en-ID"/>
        </w:rPr>
        <w:t xml:space="preserve"> et al., 2025</w:t>
      </w:r>
      <w:r w:rsidRPr="00292037">
        <w:rPr>
          <w:rFonts w:ascii="Times New Roman" w:eastAsia="Times New Roman" w:hAnsi="Times New Roman" w:cs="Times New Roman"/>
          <w:sz w:val="24"/>
          <w:szCs w:val="24"/>
          <w:lang w:eastAsia="en-ID"/>
        </w:rPr>
        <w:t>). In response to these concerns, the Indonesian Ministry of Agriculture implemented Regulation No. 14/PERMENTAN/PK.350/5/2017, which officially banned the use of antibiotics as feed additives starting January 2018. This policy shift underscores the urgent need for sustainable and safe alternatives to AGPs in modern livestock systems. Probiotics have gained considerable attention as one of the most promising substitutes. Defined as live microorganisms that confer health benefits to the host when administered in adequate amounts, probiotics help maintain intestinal microbial balance, enhance immune function, and improve feed digestibility (Andriani et al., 2020).</w:t>
      </w:r>
    </w:p>
    <w:p w14:paraId="02AC1060" w14:textId="34F36F12" w:rsidR="00B346D3" w:rsidRPr="00292037" w:rsidRDefault="007A017A" w:rsidP="00292037">
      <w:pPr>
        <w:spacing w:after="0" w:line="360" w:lineRule="auto"/>
        <w:ind w:firstLine="720"/>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Recent research has highlighted the potential of local biological resources as alternative sources of probiotic microorganisms. The Black Soldier Fly (BSF; </w:t>
      </w:r>
      <w:proofErr w:type="spellStart"/>
      <w:r w:rsidRPr="00292037">
        <w:rPr>
          <w:rFonts w:ascii="Times New Roman" w:eastAsia="Times New Roman" w:hAnsi="Times New Roman" w:cs="Times New Roman"/>
          <w:i/>
          <w:iCs/>
          <w:sz w:val="24"/>
          <w:szCs w:val="24"/>
          <w:lang w:eastAsia="en-ID"/>
        </w:rPr>
        <w:t>Hermetia</w:t>
      </w:r>
      <w:proofErr w:type="spellEnd"/>
      <w:r w:rsidRPr="00292037">
        <w:rPr>
          <w:rFonts w:ascii="Times New Roman" w:eastAsia="Times New Roman" w:hAnsi="Times New Roman" w:cs="Times New Roman"/>
          <w:i/>
          <w:iCs/>
          <w:sz w:val="24"/>
          <w:szCs w:val="24"/>
          <w:lang w:eastAsia="en-ID"/>
        </w:rPr>
        <w:t xml:space="preserve"> </w:t>
      </w:r>
      <w:proofErr w:type="spellStart"/>
      <w:r w:rsidRPr="00292037">
        <w:rPr>
          <w:rFonts w:ascii="Times New Roman" w:eastAsia="Times New Roman" w:hAnsi="Times New Roman" w:cs="Times New Roman"/>
          <w:i/>
          <w:iCs/>
          <w:sz w:val="24"/>
          <w:szCs w:val="24"/>
          <w:lang w:eastAsia="en-ID"/>
        </w:rPr>
        <w:t>illucens</w:t>
      </w:r>
      <w:proofErr w:type="spellEnd"/>
      <w:r w:rsidRPr="00292037">
        <w:rPr>
          <w:rFonts w:ascii="Times New Roman" w:eastAsia="Times New Roman" w:hAnsi="Times New Roman" w:cs="Times New Roman"/>
          <w:sz w:val="24"/>
          <w:szCs w:val="24"/>
          <w:lang w:eastAsia="en-ID"/>
        </w:rPr>
        <w:t xml:space="preserve">) larvae represent a novel and sustainable candidate for probiotic development. BSF larvae are known to contain a rich diversity of beneficial microbes and bioactive compounds, including lauric acid and antimicrobial peptides (AMPs), which contribute to their antimicrobial and immunomodulatory properties (Moretta et al., 2020; </w:t>
      </w:r>
      <w:proofErr w:type="spellStart"/>
      <w:r w:rsidRPr="00292037">
        <w:rPr>
          <w:rFonts w:ascii="Times New Roman" w:eastAsia="Times New Roman" w:hAnsi="Times New Roman" w:cs="Times New Roman"/>
          <w:sz w:val="24"/>
          <w:szCs w:val="24"/>
          <w:lang w:eastAsia="en-ID"/>
        </w:rPr>
        <w:t>Fitri</w:t>
      </w:r>
      <w:proofErr w:type="spellEnd"/>
      <w:r w:rsidRPr="00292037">
        <w:rPr>
          <w:rFonts w:ascii="Times New Roman" w:eastAsia="Times New Roman" w:hAnsi="Times New Roman" w:cs="Times New Roman"/>
          <w:sz w:val="24"/>
          <w:szCs w:val="24"/>
          <w:lang w:eastAsia="en-ID"/>
        </w:rPr>
        <w:t xml:space="preserve"> et al., 2023). Several microbial species have been isolated from BSF larvae, such as </w:t>
      </w:r>
      <w:r w:rsidRPr="00292037">
        <w:rPr>
          <w:rFonts w:ascii="Times New Roman" w:eastAsia="Times New Roman" w:hAnsi="Times New Roman" w:cs="Times New Roman"/>
          <w:i/>
          <w:iCs/>
          <w:sz w:val="24"/>
          <w:szCs w:val="24"/>
          <w:lang w:eastAsia="en-ID"/>
        </w:rPr>
        <w:t>Bacillus sp.</w:t>
      </w:r>
      <w:r w:rsidRPr="00292037">
        <w:rPr>
          <w:rFonts w:ascii="Times New Roman" w:eastAsia="Times New Roman" w:hAnsi="Times New Roman" w:cs="Times New Roman"/>
          <w:sz w:val="24"/>
          <w:szCs w:val="24"/>
          <w:lang w:eastAsia="en-ID"/>
        </w:rPr>
        <w:t xml:space="preserve">, </w:t>
      </w:r>
      <w:proofErr w:type="spellStart"/>
      <w:r w:rsidRPr="00292037">
        <w:rPr>
          <w:rFonts w:ascii="Times New Roman" w:eastAsia="Times New Roman" w:hAnsi="Times New Roman" w:cs="Times New Roman"/>
          <w:i/>
          <w:iCs/>
          <w:sz w:val="24"/>
          <w:szCs w:val="24"/>
          <w:lang w:eastAsia="en-ID"/>
        </w:rPr>
        <w:t>Gellulomonas</w:t>
      </w:r>
      <w:proofErr w:type="spellEnd"/>
      <w:r w:rsidRPr="00292037">
        <w:rPr>
          <w:rFonts w:ascii="Times New Roman" w:eastAsia="Times New Roman" w:hAnsi="Times New Roman" w:cs="Times New Roman"/>
          <w:i/>
          <w:iCs/>
          <w:sz w:val="24"/>
          <w:szCs w:val="24"/>
          <w:lang w:eastAsia="en-ID"/>
        </w:rPr>
        <w:t xml:space="preserve"> sp.</w:t>
      </w:r>
      <w:r w:rsidRPr="00292037">
        <w:rPr>
          <w:rFonts w:ascii="Times New Roman" w:eastAsia="Times New Roman" w:hAnsi="Times New Roman" w:cs="Times New Roman"/>
          <w:sz w:val="24"/>
          <w:szCs w:val="24"/>
          <w:lang w:eastAsia="en-ID"/>
        </w:rPr>
        <w:t xml:space="preserve">, </w:t>
      </w:r>
      <w:proofErr w:type="spellStart"/>
      <w:r w:rsidRPr="00292037">
        <w:rPr>
          <w:rFonts w:ascii="Times New Roman" w:eastAsia="Times New Roman" w:hAnsi="Times New Roman" w:cs="Times New Roman"/>
          <w:i/>
          <w:iCs/>
          <w:sz w:val="24"/>
          <w:szCs w:val="24"/>
          <w:lang w:eastAsia="en-ID"/>
        </w:rPr>
        <w:t>Empedobacter</w:t>
      </w:r>
      <w:proofErr w:type="spellEnd"/>
      <w:r w:rsidRPr="00292037">
        <w:rPr>
          <w:rFonts w:ascii="Times New Roman" w:eastAsia="Times New Roman" w:hAnsi="Times New Roman" w:cs="Times New Roman"/>
          <w:i/>
          <w:iCs/>
          <w:sz w:val="24"/>
          <w:szCs w:val="24"/>
          <w:lang w:eastAsia="en-ID"/>
        </w:rPr>
        <w:t xml:space="preserve"> sp.</w:t>
      </w:r>
      <w:r w:rsidRPr="00292037">
        <w:rPr>
          <w:rFonts w:ascii="Times New Roman" w:eastAsia="Times New Roman" w:hAnsi="Times New Roman" w:cs="Times New Roman"/>
          <w:sz w:val="24"/>
          <w:szCs w:val="24"/>
          <w:lang w:eastAsia="en-ID"/>
        </w:rPr>
        <w:t xml:space="preserve">, </w:t>
      </w:r>
      <w:r w:rsidRPr="00292037">
        <w:rPr>
          <w:rFonts w:ascii="Times New Roman" w:eastAsia="Times New Roman" w:hAnsi="Times New Roman" w:cs="Times New Roman"/>
          <w:i/>
          <w:iCs/>
          <w:sz w:val="24"/>
          <w:szCs w:val="24"/>
          <w:lang w:eastAsia="en-ID"/>
        </w:rPr>
        <w:t>Enterobacter sp.</w:t>
      </w:r>
      <w:r w:rsidRPr="00292037">
        <w:rPr>
          <w:rFonts w:ascii="Times New Roman" w:eastAsia="Times New Roman" w:hAnsi="Times New Roman" w:cs="Times New Roman"/>
          <w:sz w:val="24"/>
          <w:szCs w:val="24"/>
          <w:lang w:eastAsia="en-ID"/>
        </w:rPr>
        <w:t xml:space="preserve">, and </w:t>
      </w:r>
      <w:r w:rsidRPr="00292037">
        <w:rPr>
          <w:rFonts w:ascii="Times New Roman" w:eastAsia="Times New Roman" w:hAnsi="Times New Roman" w:cs="Times New Roman"/>
          <w:i/>
          <w:iCs/>
          <w:sz w:val="24"/>
          <w:szCs w:val="24"/>
          <w:lang w:eastAsia="en-ID"/>
        </w:rPr>
        <w:t>Microbacterium sp.</w:t>
      </w:r>
      <w:r w:rsidRPr="00292037">
        <w:rPr>
          <w:rFonts w:ascii="Times New Roman" w:eastAsia="Times New Roman" w:hAnsi="Times New Roman" w:cs="Times New Roman"/>
          <w:sz w:val="24"/>
          <w:szCs w:val="24"/>
          <w:lang w:eastAsia="en-ID"/>
        </w:rPr>
        <w:t xml:space="preserve"> (Zheng et al., 2013). These microorganisms are known for their potential as natural probiotics with antagonistic effects against pathogens and their ability to enhance the microbial ecology of the gastrointestinal </w:t>
      </w:r>
      <w:r w:rsidRPr="00292037">
        <w:rPr>
          <w:rFonts w:ascii="Times New Roman" w:eastAsia="Times New Roman" w:hAnsi="Times New Roman" w:cs="Times New Roman"/>
          <w:sz w:val="24"/>
          <w:szCs w:val="24"/>
          <w:lang w:eastAsia="en-ID"/>
        </w:rPr>
        <w:lastRenderedPageBreak/>
        <w:t>tract.</w:t>
      </w:r>
      <w:r w:rsidR="001B2867" w:rsidRPr="00292037">
        <w:rPr>
          <w:rFonts w:ascii="Times New Roman" w:eastAsia="Times New Roman" w:hAnsi="Times New Roman" w:cs="Times New Roman"/>
          <w:sz w:val="24"/>
          <w:szCs w:val="24"/>
          <w:lang w:eastAsia="en-ID"/>
        </w:rPr>
        <w:t xml:space="preserve"> </w:t>
      </w:r>
      <w:r w:rsidRPr="00292037">
        <w:rPr>
          <w:rFonts w:ascii="Times New Roman" w:eastAsia="Times New Roman" w:hAnsi="Times New Roman" w:cs="Times New Roman"/>
          <w:sz w:val="24"/>
          <w:szCs w:val="24"/>
          <w:lang w:eastAsia="en-ID"/>
        </w:rPr>
        <w:t xml:space="preserve">Fermentation is a key biotechnological process for developing functional probiotics, as it promotes microbial growth and metabolic activity. The efficiency of fermentation depends largely on substrate composition and fermentation conditions, particularly the availability of simple carbon sources and the duration of incubation. Molasses, a </w:t>
      </w:r>
      <w:r w:rsidR="00292037" w:rsidRPr="00292037">
        <w:rPr>
          <w:rFonts w:ascii="Times New Roman" w:eastAsia="Times New Roman" w:hAnsi="Times New Roman" w:cs="Times New Roman"/>
          <w:sz w:val="24"/>
          <w:szCs w:val="24"/>
          <w:lang w:eastAsia="en-ID"/>
        </w:rPr>
        <w:t>by-product</w:t>
      </w:r>
      <w:r w:rsidRPr="00292037">
        <w:rPr>
          <w:rFonts w:ascii="Times New Roman" w:eastAsia="Times New Roman" w:hAnsi="Times New Roman" w:cs="Times New Roman"/>
          <w:sz w:val="24"/>
          <w:szCs w:val="24"/>
          <w:lang w:eastAsia="en-ID"/>
        </w:rPr>
        <w:t xml:space="preserve"> of the sugar industry, is an inexpensive and nutrient-rich source of fermentable sugars such as sucrose, glucose, and fructose, which can stimulate microbial proliferation (</w:t>
      </w:r>
      <w:proofErr w:type="spellStart"/>
      <w:r w:rsidR="005B788C" w:rsidRPr="00292037">
        <w:rPr>
          <w:rFonts w:ascii="Times New Roman" w:eastAsia="Times New Roman" w:hAnsi="Times New Roman" w:cs="Times New Roman"/>
          <w:sz w:val="24"/>
          <w:szCs w:val="24"/>
          <w:lang w:eastAsia="en-ID"/>
        </w:rPr>
        <w:t>Dewu</w:t>
      </w:r>
      <w:proofErr w:type="spellEnd"/>
      <w:r w:rsidR="005B788C" w:rsidRPr="00292037">
        <w:rPr>
          <w:rFonts w:ascii="Times New Roman" w:eastAsia="Times New Roman" w:hAnsi="Times New Roman" w:cs="Times New Roman"/>
          <w:sz w:val="24"/>
          <w:szCs w:val="24"/>
          <w:lang w:eastAsia="en-ID"/>
        </w:rPr>
        <w:t xml:space="preserve"> </w:t>
      </w:r>
      <w:r w:rsidR="006131D6">
        <w:rPr>
          <w:rFonts w:ascii="Times New Roman" w:eastAsia="Times New Roman" w:hAnsi="Times New Roman" w:cs="Times New Roman"/>
          <w:sz w:val="24"/>
          <w:szCs w:val="24"/>
          <w:lang w:eastAsia="en-ID"/>
        </w:rPr>
        <w:t xml:space="preserve">&amp; </w:t>
      </w:r>
      <w:proofErr w:type="spellStart"/>
      <w:r w:rsidR="005B788C" w:rsidRPr="00292037">
        <w:rPr>
          <w:rFonts w:ascii="Times New Roman" w:eastAsia="Times New Roman" w:hAnsi="Times New Roman" w:cs="Times New Roman"/>
          <w:sz w:val="24"/>
          <w:szCs w:val="24"/>
          <w:lang w:eastAsia="en-ID"/>
        </w:rPr>
        <w:t>Rasmiyana</w:t>
      </w:r>
      <w:proofErr w:type="spellEnd"/>
      <w:r w:rsidRPr="00292037">
        <w:rPr>
          <w:rFonts w:ascii="Times New Roman" w:eastAsia="Times New Roman" w:hAnsi="Times New Roman" w:cs="Times New Roman"/>
          <w:sz w:val="24"/>
          <w:szCs w:val="24"/>
          <w:lang w:eastAsia="en-ID"/>
        </w:rPr>
        <w:t>, 20</w:t>
      </w:r>
      <w:r w:rsidR="005B788C" w:rsidRPr="00292037">
        <w:rPr>
          <w:rFonts w:ascii="Times New Roman" w:eastAsia="Times New Roman" w:hAnsi="Times New Roman" w:cs="Times New Roman"/>
          <w:sz w:val="24"/>
          <w:szCs w:val="24"/>
          <w:lang w:eastAsia="en-ID"/>
        </w:rPr>
        <w:t>25</w:t>
      </w:r>
      <w:r w:rsidRPr="00292037">
        <w:rPr>
          <w:rFonts w:ascii="Times New Roman" w:eastAsia="Times New Roman" w:hAnsi="Times New Roman" w:cs="Times New Roman"/>
          <w:sz w:val="24"/>
          <w:szCs w:val="24"/>
          <w:lang w:eastAsia="en-ID"/>
        </w:rPr>
        <w:t>). Variations in molasses concentration and incubation time influence microbial population dynamics and metabolite production, affecting the physicochemical and microbiological characteristics of the resulting probiotics (</w:t>
      </w:r>
      <w:r w:rsidR="0005655D" w:rsidRPr="00292037">
        <w:rPr>
          <w:rFonts w:ascii="Times New Roman" w:eastAsia="Times New Roman" w:hAnsi="Times New Roman" w:cs="Times New Roman"/>
          <w:sz w:val="24"/>
          <w:szCs w:val="24"/>
          <w:lang w:eastAsia="en-ID"/>
        </w:rPr>
        <w:t>Mokhtar</w:t>
      </w:r>
      <w:r w:rsidRPr="00292037">
        <w:rPr>
          <w:rFonts w:ascii="Times New Roman" w:eastAsia="Times New Roman" w:hAnsi="Times New Roman" w:cs="Times New Roman"/>
          <w:sz w:val="24"/>
          <w:szCs w:val="24"/>
          <w:lang w:eastAsia="en-ID"/>
        </w:rPr>
        <w:t xml:space="preserve"> et al., 202</w:t>
      </w:r>
      <w:r w:rsidR="0005655D" w:rsidRPr="00292037">
        <w:rPr>
          <w:rFonts w:ascii="Times New Roman" w:eastAsia="Times New Roman" w:hAnsi="Times New Roman" w:cs="Times New Roman"/>
          <w:sz w:val="24"/>
          <w:szCs w:val="24"/>
          <w:lang w:eastAsia="en-ID"/>
        </w:rPr>
        <w:t>4</w:t>
      </w:r>
      <w:r w:rsidRPr="00292037">
        <w:rPr>
          <w:rFonts w:ascii="Times New Roman" w:eastAsia="Times New Roman" w:hAnsi="Times New Roman" w:cs="Times New Roman"/>
          <w:sz w:val="24"/>
          <w:szCs w:val="24"/>
          <w:lang w:eastAsia="en-ID"/>
        </w:rPr>
        <w:t xml:space="preserve">; </w:t>
      </w:r>
      <w:r w:rsidR="0005655D" w:rsidRPr="00292037">
        <w:rPr>
          <w:rFonts w:ascii="Times New Roman" w:eastAsia="Times New Roman" w:hAnsi="Times New Roman" w:cs="Times New Roman"/>
          <w:sz w:val="24"/>
          <w:szCs w:val="24"/>
          <w:lang w:eastAsia="en-ID"/>
        </w:rPr>
        <w:t>Loo</w:t>
      </w:r>
      <w:r w:rsidRPr="00292037">
        <w:rPr>
          <w:rFonts w:ascii="Times New Roman" w:eastAsia="Times New Roman" w:hAnsi="Times New Roman" w:cs="Times New Roman"/>
          <w:sz w:val="24"/>
          <w:szCs w:val="24"/>
          <w:lang w:eastAsia="en-ID"/>
        </w:rPr>
        <w:t xml:space="preserve"> et al., 20</w:t>
      </w:r>
      <w:r w:rsidR="0005655D" w:rsidRPr="00292037">
        <w:rPr>
          <w:rFonts w:ascii="Times New Roman" w:eastAsia="Times New Roman" w:hAnsi="Times New Roman" w:cs="Times New Roman"/>
          <w:sz w:val="24"/>
          <w:szCs w:val="24"/>
          <w:lang w:eastAsia="en-ID"/>
        </w:rPr>
        <w:t>2</w:t>
      </w:r>
      <w:r w:rsidRPr="00292037">
        <w:rPr>
          <w:rFonts w:ascii="Times New Roman" w:eastAsia="Times New Roman" w:hAnsi="Times New Roman" w:cs="Times New Roman"/>
          <w:sz w:val="24"/>
          <w:szCs w:val="24"/>
          <w:lang w:eastAsia="en-ID"/>
        </w:rPr>
        <w:t>5).</w:t>
      </w:r>
      <w:r w:rsidR="00B346D3" w:rsidRPr="00292037">
        <w:rPr>
          <w:rFonts w:ascii="Times New Roman" w:eastAsia="Times New Roman" w:hAnsi="Times New Roman" w:cs="Times New Roman"/>
          <w:sz w:val="24"/>
          <w:szCs w:val="24"/>
          <w:lang w:eastAsia="en-ID"/>
        </w:rPr>
        <w:t xml:space="preserve"> </w:t>
      </w:r>
    </w:p>
    <w:p w14:paraId="61619D77" w14:textId="703D7929" w:rsidR="00EB474A" w:rsidRPr="00292037" w:rsidRDefault="00BB5A18">
      <w:pPr>
        <w:spacing w:after="0" w:line="360" w:lineRule="auto"/>
        <w:ind w:firstLine="720"/>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Several studies have explored the use of BS</w:t>
      </w:r>
      <w:r w:rsidR="00C62B36" w:rsidRPr="00292037">
        <w:rPr>
          <w:rFonts w:ascii="Times New Roman" w:eastAsia="Times New Roman" w:hAnsi="Times New Roman" w:cs="Times New Roman"/>
          <w:sz w:val="24"/>
          <w:szCs w:val="24"/>
          <w:lang w:eastAsia="en-ID"/>
        </w:rPr>
        <w:t>F</w:t>
      </w:r>
      <w:r w:rsidRPr="00292037">
        <w:rPr>
          <w:rFonts w:ascii="Times New Roman" w:eastAsia="Times New Roman" w:hAnsi="Times New Roman" w:cs="Times New Roman"/>
          <w:sz w:val="24"/>
          <w:szCs w:val="24"/>
          <w:lang w:eastAsia="en-ID"/>
        </w:rPr>
        <w:t xml:space="preserve"> larvae as a source of probiotics. </w:t>
      </w:r>
      <w:proofErr w:type="spellStart"/>
      <w:r w:rsidRPr="00292037">
        <w:rPr>
          <w:rFonts w:ascii="Times New Roman" w:eastAsia="Times New Roman" w:hAnsi="Times New Roman" w:cs="Times New Roman"/>
          <w:sz w:val="24"/>
          <w:szCs w:val="24"/>
          <w:lang w:eastAsia="en-ID"/>
        </w:rPr>
        <w:t>Fitri</w:t>
      </w:r>
      <w:proofErr w:type="spellEnd"/>
      <w:r w:rsidRPr="00292037">
        <w:rPr>
          <w:rFonts w:ascii="Times New Roman" w:eastAsia="Times New Roman" w:hAnsi="Times New Roman" w:cs="Times New Roman"/>
          <w:sz w:val="24"/>
          <w:szCs w:val="24"/>
          <w:lang w:eastAsia="en-ID"/>
        </w:rPr>
        <w:t xml:space="preserve"> et al. (2023) reported that probiotics derived from BSF larvae fermentation were dominated by lactic acid bacteria (LAB), but the study did not provide detailed information on the fermentation method and only stated that the probiotics were produced by PT. Bio Cycle Indo. Similarly, </w:t>
      </w:r>
      <w:proofErr w:type="spellStart"/>
      <w:r w:rsidRPr="00292037">
        <w:rPr>
          <w:rFonts w:ascii="Times New Roman" w:eastAsia="Times New Roman" w:hAnsi="Times New Roman" w:cs="Times New Roman"/>
          <w:sz w:val="24"/>
          <w:szCs w:val="24"/>
          <w:lang w:eastAsia="en-ID"/>
        </w:rPr>
        <w:t>Fassah</w:t>
      </w:r>
      <w:proofErr w:type="spellEnd"/>
      <w:r w:rsidRPr="00292037">
        <w:rPr>
          <w:rFonts w:ascii="Times New Roman" w:eastAsia="Times New Roman" w:hAnsi="Times New Roman" w:cs="Times New Roman"/>
          <w:sz w:val="24"/>
          <w:szCs w:val="24"/>
          <w:lang w:eastAsia="en-ID"/>
        </w:rPr>
        <w:t xml:space="preserve"> et al. (2024) </w:t>
      </w:r>
      <w:r w:rsidR="00B346D3" w:rsidRPr="00292037">
        <w:rPr>
          <w:rFonts w:ascii="Times New Roman" w:eastAsia="Times New Roman" w:hAnsi="Times New Roman" w:cs="Times New Roman"/>
          <w:sz w:val="24"/>
          <w:szCs w:val="24"/>
          <w:lang w:eastAsia="en-ID"/>
        </w:rPr>
        <w:t xml:space="preserve">isolated BSF larvae as a source of lactic acid bacteria, obtaining 13 LAB isolates identified morphologically. </w:t>
      </w:r>
      <w:proofErr w:type="spellStart"/>
      <w:r w:rsidR="00B346D3" w:rsidRPr="00292037">
        <w:rPr>
          <w:rFonts w:ascii="Times New Roman" w:eastAsia="Times New Roman" w:hAnsi="Times New Roman" w:cs="Times New Roman"/>
          <w:sz w:val="24"/>
          <w:szCs w:val="24"/>
          <w:lang w:eastAsia="en-ID"/>
        </w:rPr>
        <w:t>Utary</w:t>
      </w:r>
      <w:proofErr w:type="spellEnd"/>
      <w:r w:rsidR="00B346D3" w:rsidRPr="00292037">
        <w:rPr>
          <w:rFonts w:ascii="Times New Roman" w:eastAsia="Times New Roman" w:hAnsi="Times New Roman" w:cs="Times New Roman"/>
          <w:sz w:val="24"/>
          <w:szCs w:val="24"/>
          <w:lang w:eastAsia="en-ID"/>
        </w:rPr>
        <w:t xml:space="preserve"> </w:t>
      </w:r>
      <w:proofErr w:type="spellStart"/>
      <w:r w:rsidR="00B346D3" w:rsidRPr="00292037">
        <w:rPr>
          <w:rFonts w:ascii="Times New Roman" w:eastAsia="Times New Roman" w:hAnsi="Times New Roman" w:cs="Times New Roman"/>
          <w:sz w:val="24"/>
          <w:szCs w:val="24"/>
          <w:lang w:eastAsia="en-ID"/>
        </w:rPr>
        <w:t>el</w:t>
      </w:r>
      <w:proofErr w:type="spellEnd"/>
      <w:r w:rsidR="00B346D3" w:rsidRPr="00292037">
        <w:rPr>
          <w:rFonts w:ascii="Times New Roman" w:eastAsia="Times New Roman" w:hAnsi="Times New Roman" w:cs="Times New Roman"/>
          <w:sz w:val="24"/>
          <w:szCs w:val="24"/>
          <w:lang w:eastAsia="en-ID"/>
        </w:rPr>
        <w:t xml:space="preserve"> al. (2024) </w:t>
      </w:r>
      <w:r w:rsidRPr="00292037">
        <w:rPr>
          <w:rFonts w:ascii="Times New Roman" w:eastAsia="Times New Roman" w:hAnsi="Times New Roman" w:cs="Times New Roman"/>
          <w:sz w:val="24"/>
          <w:szCs w:val="24"/>
          <w:lang w:eastAsia="en-ID"/>
        </w:rPr>
        <w:t xml:space="preserve">also reported that BSF larvae juice contains microorganisms, mainly </w:t>
      </w:r>
      <w:r w:rsidR="00C62B36" w:rsidRPr="00292037">
        <w:rPr>
          <w:rFonts w:ascii="Times New Roman" w:eastAsia="Times New Roman" w:hAnsi="Times New Roman" w:cs="Times New Roman"/>
          <w:sz w:val="24"/>
          <w:szCs w:val="24"/>
          <w:lang w:eastAsia="en-ID"/>
        </w:rPr>
        <w:t>G</w:t>
      </w:r>
      <w:r w:rsidRPr="00292037">
        <w:rPr>
          <w:rFonts w:ascii="Times New Roman" w:eastAsia="Times New Roman" w:hAnsi="Times New Roman" w:cs="Times New Roman"/>
          <w:sz w:val="24"/>
          <w:szCs w:val="24"/>
          <w:lang w:eastAsia="en-ID"/>
        </w:rPr>
        <w:t xml:space="preserve">ram-positive bacteria such as </w:t>
      </w:r>
      <w:r w:rsidRPr="00292037">
        <w:rPr>
          <w:rFonts w:ascii="Times New Roman" w:eastAsia="Times New Roman" w:hAnsi="Times New Roman" w:cs="Times New Roman"/>
          <w:i/>
          <w:iCs/>
          <w:sz w:val="24"/>
          <w:szCs w:val="24"/>
          <w:lang w:eastAsia="en-ID"/>
        </w:rPr>
        <w:t>Bacillus</w:t>
      </w:r>
      <w:r w:rsidRPr="00292037">
        <w:rPr>
          <w:rFonts w:ascii="Times New Roman" w:eastAsia="Times New Roman" w:hAnsi="Times New Roman" w:cs="Times New Roman"/>
          <w:sz w:val="24"/>
          <w:szCs w:val="24"/>
          <w:lang w:eastAsia="en-ID"/>
        </w:rPr>
        <w:t xml:space="preserve"> and </w:t>
      </w:r>
      <w:r w:rsidRPr="00292037">
        <w:rPr>
          <w:rFonts w:ascii="Times New Roman" w:eastAsia="Times New Roman" w:hAnsi="Times New Roman" w:cs="Times New Roman"/>
          <w:i/>
          <w:iCs/>
          <w:sz w:val="24"/>
          <w:szCs w:val="24"/>
          <w:lang w:eastAsia="en-ID"/>
        </w:rPr>
        <w:t>Actinomycetes</w:t>
      </w:r>
      <w:r w:rsidRPr="00292037">
        <w:rPr>
          <w:rFonts w:ascii="Times New Roman" w:eastAsia="Times New Roman" w:hAnsi="Times New Roman" w:cs="Times New Roman"/>
          <w:sz w:val="24"/>
          <w:szCs w:val="24"/>
          <w:lang w:eastAsia="en-ID"/>
        </w:rPr>
        <w:t xml:space="preserve">, which have potential as promising probiotics for broiler chickens. Despite these findings, no previous study has described specific methods for producing probiotics from BSF larvae, including the effects of fermentation parameters such as molasses concentration and incubation time on the quality of the resulting probiotics. Therefore, this study </w:t>
      </w:r>
      <w:r w:rsidR="00E34FC6" w:rsidRPr="00292037">
        <w:rPr>
          <w:rFonts w:ascii="Times New Roman" w:eastAsia="Times New Roman" w:hAnsi="Times New Roman" w:cs="Times New Roman"/>
          <w:sz w:val="24"/>
          <w:szCs w:val="24"/>
          <w:lang w:eastAsia="en-ID"/>
        </w:rPr>
        <w:t xml:space="preserve">aims to evaluate the combined effect of molasses concentration and incubation time on the pH value, total titratable acidity and microbiological properties (populations of LAB, </w:t>
      </w:r>
      <w:r w:rsidR="00E34FC6" w:rsidRPr="00292037">
        <w:rPr>
          <w:rFonts w:ascii="Times New Roman" w:eastAsia="Times New Roman" w:hAnsi="Times New Roman" w:cs="Times New Roman"/>
          <w:i/>
          <w:iCs/>
          <w:sz w:val="24"/>
          <w:szCs w:val="24"/>
          <w:lang w:eastAsia="en-ID"/>
        </w:rPr>
        <w:t xml:space="preserve">Bacillus </w:t>
      </w:r>
      <w:r w:rsidR="00E34FC6" w:rsidRPr="00292037">
        <w:rPr>
          <w:rFonts w:ascii="Times New Roman" w:eastAsia="Times New Roman" w:hAnsi="Times New Roman" w:cs="Times New Roman"/>
          <w:sz w:val="24"/>
          <w:szCs w:val="24"/>
          <w:lang w:eastAsia="en-ID"/>
        </w:rPr>
        <w:t xml:space="preserve">sp., </w:t>
      </w:r>
      <w:r w:rsidR="00E34FC6" w:rsidRPr="00292037">
        <w:rPr>
          <w:rFonts w:ascii="Times New Roman" w:eastAsia="Times New Roman" w:hAnsi="Times New Roman" w:cs="Times New Roman"/>
          <w:i/>
          <w:iCs/>
          <w:sz w:val="24"/>
          <w:szCs w:val="24"/>
          <w:lang w:eastAsia="en-ID"/>
        </w:rPr>
        <w:t>Actinomycetes</w:t>
      </w:r>
      <w:r w:rsidR="00E34FC6" w:rsidRPr="00292037">
        <w:rPr>
          <w:rFonts w:ascii="Times New Roman" w:eastAsia="Times New Roman" w:hAnsi="Times New Roman" w:cs="Times New Roman"/>
          <w:sz w:val="24"/>
          <w:szCs w:val="24"/>
          <w:lang w:eastAsia="en-ID"/>
        </w:rPr>
        <w:t xml:space="preserve"> and yeasts</w:t>
      </w:r>
      <w:r w:rsidR="00C62B36" w:rsidRPr="00292037">
        <w:rPr>
          <w:rFonts w:ascii="Times New Roman" w:eastAsia="Times New Roman" w:hAnsi="Times New Roman" w:cs="Times New Roman"/>
          <w:sz w:val="24"/>
          <w:szCs w:val="24"/>
          <w:lang w:eastAsia="en-ID"/>
        </w:rPr>
        <w:t>)</w:t>
      </w:r>
      <w:r w:rsidR="00E34FC6" w:rsidRPr="00292037">
        <w:rPr>
          <w:rFonts w:ascii="Times New Roman" w:eastAsia="Times New Roman" w:hAnsi="Times New Roman" w:cs="Times New Roman"/>
          <w:sz w:val="24"/>
          <w:szCs w:val="24"/>
          <w:lang w:eastAsia="en-ID"/>
        </w:rPr>
        <w:t xml:space="preserve"> of indigenous probiotics derived from BSF larvae. It is anticipated that specific combinations of molasses concentration </w:t>
      </w:r>
      <w:r w:rsidR="00C62B36" w:rsidRPr="00292037">
        <w:rPr>
          <w:rFonts w:ascii="Times New Roman" w:eastAsia="Times New Roman" w:hAnsi="Times New Roman" w:cs="Times New Roman"/>
          <w:sz w:val="24"/>
          <w:szCs w:val="24"/>
          <w:lang w:eastAsia="en-ID"/>
        </w:rPr>
        <w:t xml:space="preserve">and incubation time will lead to enhanced microbial growth and optimized fermentation characteristics. </w:t>
      </w:r>
      <w:r w:rsidR="00E34FC6" w:rsidRPr="00292037">
        <w:rPr>
          <w:rFonts w:ascii="Times New Roman" w:eastAsia="Times New Roman" w:hAnsi="Times New Roman" w:cs="Times New Roman"/>
          <w:sz w:val="24"/>
          <w:szCs w:val="24"/>
          <w:lang w:eastAsia="en-ID"/>
        </w:rPr>
        <w:t>The outcomes of this study are expected to provide new insights into the development of sustainable, locally sourced probiotic technologies that align with national strategies for animal feed innovation and food security.</w:t>
      </w:r>
    </w:p>
    <w:p w14:paraId="229545AB" w14:textId="5E8DA208" w:rsidR="001B2867" w:rsidRPr="00292037" w:rsidRDefault="001B2867" w:rsidP="00EB474A">
      <w:pPr>
        <w:pStyle w:val="NormalWeb"/>
        <w:spacing w:before="0" w:beforeAutospacing="0" w:after="0" w:afterAutospacing="0" w:line="360" w:lineRule="auto"/>
        <w:jc w:val="both"/>
        <w:rPr>
          <w:b/>
          <w:bCs/>
          <w:lang w:val="en-ID" w:eastAsia="en-ID"/>
        </w:rPr>
      </w:pPr>
      <w:r w:rsidRPr="00292037">
        <w:rPr>
          <w:b/>
          <w:bCs/>
          <w:lang w:val="en-ID" w:eastAsia="en-ID"/>
        </w:rPr>
        <w:t>Materials and Methods</w:t>
      </w:r>
    </w:p>
    <w:p w14:paraId="7A8DF1AE" w14:textId="0EB7251C" w:rsidR="001B2867" w:rsidRPr="00292037" w:rsidRDefault="001B2867" w:rsidP="00EB474A">
      <w:pPr>
        <w:pStyle w:val="NormalWeb"/>
        <w:spacing w:before="0" w:beforeAutospacing="0" w:after="0" w:afterAutospacing="0" w:line="360" w:lineRule="auto"/>
        <w:jc w:val="both"/>
        <w:rPr>
          <w:b/>
          <w:bCs/>
          <w:lang w:val="en-ID" w:eastAsia="en-ID"/>
        </w:rPr>
      </w:pPr>
      <w:r w:rsidRPr="00292037">
        <w:rPr>
          <w:b/>
          <w:bCs/>
          <w:lang w:val="en-ID" w:eastAsia="en-ID"/>
        </w:rPr>
        <w:t>Location and Duration of the Study</w:t>
      </w:r>
    </w:p>
    <w:p w14:paraId="23175873" w14:textId="43BD580F" w:rsidR="001B2867" w:rsidRPr="00292037" w:rsidRDefault="001B2867" w:rsidP="001B2867">
      <w:pPr>
        <w:pStyle w:val="NormalWeb"/>
        <w:spacing w:before="0" w:beforeAutospacing="0" w:after="0" w:afterAutospacing="0" w:line="360" w:lineRule="auto"/>
        <w:ind w:firstLine="720"/>
        <w:jc w:val="both"/>
      </w:pPr>
      <w:r w:rsidRPr="00292037">
        <w:t>This research was conducted at the Laboratory of Feed Nutrition and Technology and the Animal Production Laboratory, Department of Animal Science, Faculty of Agriculture, Universitas Sumatera Utara. The study was carried out over a period of ten months, from July to October 2025.</w:t>
      </w:r>
    </w:p>
    <w:p w14:paraId="39501BB1" w14:textId="77777777" w:rsidR="001B2867" w:rsidRPr="00292037" w:rsidRDefault="001B2867" w:rsidP="001B2867">
      <w:pPr>
        <w:pStyle w:val="NormalWeb"/>
        <w:spacing w:before="0" w:beforeAutospacing="0" w:after="0" w:afterAutospacing="0" w:line="360" w:lineRule="auto"/>
        <w:jc w:val="both"/>
        <w:rPr>
          <w:b/>
          <w:bCs/>
          <w:lang w:val="en-US"/>
        </w:rPr>
      </w:pPr>
      <w:r w:rsidRPr="00292037">
        <w:rPr>
          <w:b/>
          <w:bCs/>
          <w:lang w:val="en-US"/>
        </w:rPr>
        <w:t xml:space="preserve">Materials </w:t>
      </w:r>
    </w:p>
    <w:p w14:paraId="564C0F57" w14:textId="44BD16F7" w:rsidR="001B2867" w:rsidRPr="00292037" w:rsidRDefault="001B2867" w:rsidP="001B2867">
      <w:pPr>
        <w:pStyle w:val="NormalWeb"/>
        <w:spacing w:before="0" w:beforeAutospacing="0" w:after="0" w:afterAutospacing="0" w:line="360" w:lineRule="auto"/>
        <w:ind w:firstLine="720"/>
        <w:jc w:val="both"/>
        <w:rPr>
          <w:lang w:val="en-US"/>
        </w:rPr>
      </w:pPr>
      <w:r w:rsidRPr="00292037">
        <w:rPr>
          <w:lang w:eastAsia="en-ID"/>
        </w:rPr>
        <w:lastRenderedPageBreak/>
        <w:t>The equipment used in this study included fermentation bottles, fermentation tubes, BSF larval containers, weighing scales, an autoclave, laminar airflow cabinet, microbiological testing kits, a pH meter</w:t>
      </w:r>
      <w:r w:rsidRPr="00292037">
        <w:rPr>
          <w:lang w:val="en-US" w:eastAsia="en-ID"/>
        </w:rPr>
        <w:t xml:space="preserve"> and</w:t>
      </w:r>
      <w:r w:rsidRPr="00292037">
        <w:rPr>
          <w:lang w:eastAsia="en-ID"/>
        </w:rPr>
        <w:t xml:space="preserve"> titration apparatus for total acidity</w:t>
      </w:r>
      <w:r w:rsidRPr="00292037">
        <w:rPr>
          <w:lang w:val="en-US" w:eastAsia="en-ID"/>
        </w:rPr>
        <w:t>.</w:t>
      </w:r>
      <w:r w:rsidR="00333D48" w:rsidRPr="00292037">
        <w:rPr>
          <w:lang w:val="en-US" w:eastAsia="en-ID"/>
        </w:rPr>
        <w:t xml:space="preserve"> </w:t>
      </w:r>
      <w:r w:rsidR="00333D48" w:rsidRPr="00292037">
        <w:t>The materials used included Black Soldier Fly (BSF) eggs, tofu dregs as the maggot growth medium, distilled water, reagents for total bacterial count analysis</w:t>
      </w:r>
      <w:r w:rsidR="00333D48" w:rsidRPr="00292037">
        <w:rPr>
          <w:lang w:val="en-US"/>
        </w:rPr>
        <w:t xml:space="preserve"> and</w:t>
      </w:r>
      <w:r w:rsidR="00333D48" w:rsidRPr="00292037">
        <w:t xml:space="preserve"> reagents for total acidity determination</w:t>
      </w:r>
      <w:r w:rsidR="00333D48" w:rsidRPr="00292037">
        <w:rPr>
          <w:lang w:val="en-US"/>
        </w:rPr>
        <w:t>.</w:t>
      </w:r>
    </w:p>
    <w:p w14:paraId="2526C851" w14:textId="035AE837" w:rsidR="00333D48" w:rsidRPr="00292037" w:rsidRDefault="00333D48" w:rsidP="00333D48">
      <w:pPr>
        <w:pStyle w:val="NormalWeb"/>
        <w:spacing w:before="0" w:beforeAutospacing="0" w:after="0" w:afterAutospacing="0" w:line="360" w:lineRule="auto"/>
        <w:jc w:val="both"/>
        <w:rPr>
          <w:b/>
          <w:bCs/>
          <w:lang w:val="en-US"/>
        </w:rPr>
      </w:pPr>
      <w:r w:rsidRPr="00292037">
        <w:rPr>
          <w:b/>
          <w:bCs/>
          <w:lang w:val="en-US"/>
        </w:rPr>
        <w:t>Experimental Design</w:t>
      </w:r>
    </w:p>
    <w:p w14:paraId="518B2F91" w14:textId="100DFA6C" w:rsidR="00333D48" w:rsidRPr="00292037" w:rsidRDefault="00333D48" w:rsidP="00333D48">
      <w:pPr>
        <w:pStyle w:val="NormalWeb"/>
        <w:spacing w:before="0" w:beforeAutospacing="0" w:after="0" w:afterAutospacing="0" w:line="360" w:lineRule="auto"/>
        <w:ind w:firstLine="720"/>
        <w:jc w:val="both"/>
      </w:pPr>
      <w:r w:rsidRPr="00292037">
        <w:t>A factorial completely randomized design (CRD) was used with two factors: molasses concentration (A) and incubation time (B)</w:t>
      </w:r>
      <w:r w:rsidR="00F62ED7" w:rsidRPr="00292037">
        <w:rPr>
          <w:lang w:val="en-US"/>
        </w:rPr>
        <w:t>, each consisting of three levels.</w:t>
      </w:r>
      <w:r w:rsidRPr="00292037">
        <w:t xml:space="preserve"> Each treatment </w:t>
      </w:r>
      <w:r w:rsidR="00F62ED7" w:rsidRPr="00292037">
        <w:rPr>
          <w:lang w:val="en-US"/>
        </w:rPr>
        <w:t xml:space="preserve">combination </w:t>
      </w:r>
      <w:r w:rsidRPr="00292037">
        <w:t xml:space="preserve">was replicated three times, resulting in a total of </w:t>
      </w:r>
      <w:r w:rsidR="004A01E9" w:rsidRPr="00292037">
        <w:rPr>
          <w:lang w:val="en-US"/>
        </w:rPr>
        <w:t>27</w:t>
      </w:r>
      <w:r w:rsidRPr="00292037">
        <w:t xml:space="preserve"> experimental units.</w:t>
      </w:r>
      <w:r w:rsidRPr="00292037">
        <w:rPr>
          <w:lang w:val="en-US"/>
        </w:rPr>
        <w:t xml:space="preserve"> </w:t>
      </w:r>
      <w:r w:rsidRPr="00292037">
        <w:t>The treatment factors were as follows:</w:t>
      </w:r>
    </w:p>
    <w:p w14:paraId="19619262" w14:textId="30E9A464" w:rsidR="00333D48" w:rsidRPr="00292037" w:rsidRDefault="00333D48" w:rsidP="00333D48">
      <w:pPr>
        <w:pStyle w:val="NormalWeb"/>
        <w:spacing w:before="0" w:beforeAutospacing="0" w:after="0" w:afterAutospacing="0" w:line="360" w:lineRule="auto"/>
        <w:jc w:val="both"/>
        <w:rPr>
          <w:lang w:val="en-US"/>
        </w:rPr>
      </w:pPr>
      <w:r w:rsidRPr="00292037">
        <w:rPr>
          <w:lang w:val="en-US"/>
        </w:rPr>
        <w:t xml:space="preserve">Factor A: </w:t>
      </w:r>
      <w:r w:rsidR="00780324" w:rsidRPr="00292037">
        <w:rPr>
          <w:lang w:val="en-US"/>
        </w:rPr>
        <w:t>Molasses</w:t>
      </w:r>
      <w:r w:rsidRPr="00292037">
        <w:rPr>
          <w:lang w:val="en-US"/>
        </w:rPr>
        <w:t xml:space="preserve"> Concentration</w:t>
      </w:r>
    </w:p>
    <w:p w14:paraId="486A681D" w14:textId="034CCD84" w:rsidR="00333D48" w:rsidRPr="00292037" w:rsidRDefault="00333D48" w:rsidP="00292037">
      <w:pPr>
        <w:pStyle w:val="NormalWeb"/>
        <w:spacing w:before="0" w:beforeAutospacing="0" w:after="0" w:afterAutospacing="0" w:line="360" w:lineRule="auto"/>
        <w:ind w:firstLine="720"/>
        <w:jc w:val="both"/>
        <w:rPr>
          <w:lang w:val="en-US"/>
        </w:rPr>
      </w:pPr>
      <w:r w:rsidRPr="00292037">
        <w:rPr>
          <w:lang w:val="en-US"/>
        </w:rPr>
        <w:t>A1= 0% molasses</w:t>
      </w:r>
      <w:r w:rsidR="00B346D3" w:rsidRPr="00292037">
        <w:rPr>
          <w:lang w:val="en-US"/>
        </w:rPr>
        <w:t xml:space="preserve"> (0mL molasses)</w:t>
      </w:r>
    </w:p>
    <w:p w14:paraId="2FBC0F4D" w14:textId="3474FC7C" w:rsidR="00333D48" w:rsidRPr="00780324" w:rsidRDefault="00333D48" w:rsidP="00292037">
      <w:pPr>
        <w:pStyle w:val="NormalWeb"/>
        <w:spacing w:before="0" w:beforeAutospacing="0" w:after="0" w:afterAutospacing="0" w:line="360" w:lineRule="auto"/>
        <w:ind w:firstLine="720"/>
        <w:jc w:val="both"/>
        <w:rPr>
          <w:lang w:val="pt-BR"/>
        </w:rPr>
      </w:pPr>
      <w:r w:rsidRPr="00780324">
        <w:rPr>
          <w:lang w:val="pt-BR"/>
        </w:rPr>
        <w:t>A2= 50% molasses</w:t>
      </w:r>
      <w:r w:rsidR="00B346D3" w:rsidRPr="00780324">
        <w:rPr>
          <w:lang w:val="pt-BR"/>
        </w:rPr>
        <w:t xml:space="preserve"> (75mL molasses)</w:t>
      </w:r>
    </w:p>
    <w:p w14:paraId="245B4916" w14:textId="0706F3BD" w:rsidR="00333D48" w:rsidRPr="00780324" w:rsidRDefault="00333D48" w:rsidP="00292037">
      <w:pPr>
        <w:pStyle w:val="NormalWeb"/>
        <w:spacing w:before="0" w:beforeAutospacing="0" w:after="0" w:afterAutospacing="0" w:line="360" w:lineRule="auto"/>
        <w:ind w:firstLine="720"/>
        <w:jc w:val="both"/>
        <w:rPr>
          <w:lang w:val="pt-BR"/>
        </w:rPr>
      </w:pPr>
      <w:r w:rsidRPr="00780324">
        <w:rPr>
          <w:lang w:val="pt-BR"/>
        </w:rPr>
        <w:t>A3= 100% molasses</w:t>
      </w:r>
      <w:r w:rsidR="00B346D3" w:rsidRPr="00780324">
        <w:rPr>
          <w:lang w:val="pt-BR"/>
        </w:rPr>
        <w:t xml:space="preserve"> </w:t>
      </w:r>
      <w:r w:rsidR="00C920E1" w:rsidRPr="00780324">
        <w:rPr>
          <w:lang w:val="pt-BR"/>
        </w:rPr>
        <w:t>(</w:t>
      </w:r>
      <w:r w:rsidR="00B346D3" w:rsidRPr="00780324">
        <w:rPr>
          <w:lang w:val="pt-BR"/>
        </w:rPr>
        <w:t>150mL molasses)</w:t>
      </w:r>
    </w:p>
    <w:p w14:paraId="568C7EA1" w14:textId="168E865C" w:rsidR="00333D48" w:rsidRPr="00292037" w:rsidRDefault="00333D48" w:rsidP="00333D48">
      <w:pPr>
        <w:pStyle w:val="NormalWeb"/>
        <w:spacing w:before="0" w:beforeAutospacing="0" w:after="0" w:afterAutospacing="0" w:line="360" w:lineRule="auto"/>
        <w:jc w:val="both"/>
        <w:rPr>
          <w:lang w:val="en-US" w:eastAsia="en-ID"/>
        </w:rPr>
      </w:pPr>
      <w:r w:rsidRPr="00292037">
        <w:rPr>
          <w:lang w:val="en-US" w:eastAsia="en-ID"/>
        </w:rPr>
        <w:t>Factor B: Incubation time</w:t>
      </w:r>
    </w:p>
    <w:p w14:paraId="4C897243" w14:textId="0382C9F8" w:rsidR="00333D48" w:rsidRPr="00292037" w:rsidRDefault="00333D48" w:rsidP="00333D48">
      <w:pPr>
        <w:pStyle w:val="NormalWeb"/>
        <w:spacing w:before="0" w:beforeAutospacing="0" w:after="0" w:afterAutospacing="0" w:line="360" w:lineRule="auto"/>
        <w:ind w:firstLine="720"/>
        <w:jc w:val="both"/>
        <w:rPr>
          <w:lang w:val="en-US"/>
        </w:rPr>
      </w:pPr>
      <w:r w:rsidRPr="00292037">
        <w:rPr>
          <w:lang w:val="en-US"/>
        </w:rPr>
        <w:t>B1= 5 days</w:t>
      </w:r>
    </w:p>
    <w:p w14:paraId="4FF148A2" w14:textId="55B8311E" w:rsidR="00333D48" w:rsidRPr="00292037" w:rsidRDefault="00333D48" w:rsidP="00333D48">
      <w:pPr>
        <w:pStyle w:val="NormalWeb"/>
        <w:spacing w:before="0" w:beforeAutospacing="0" w:after="0" w:afterAutospacing="0" w:line="360" w:lineRule="auto"/>
        <w:ind w:firstLine="720"/>
        <w:jc w:val="both"/>
        <w:rPr>
          <w:lang w:val="en-US"/>
        </w:rPr>
      </w:pPr>
      <w:r w:rsidRPr="00292037">
        <w:rPr>
          <w:lang w:val="en-US"/>
        </w:rPr>
        <w:t>B2= 10 days</w:t>
      </w:r>
    </w:p>
    <w:p w14:paraId="767C55F3" w14:textId="124736A1" w:rsidR="00333D48" w:rsidRPr="00292037" w:rsidRDefault="00333D48" w:rsidP="00333D48">
      <w:pPr>
        <w:pStyle w:val="NormalWeb"/>
        <w:spacing w:before="0" w:beforeAutospacing="0" w:after="0" w:afterAutospacing="0" w:line="360" w:lineRule="auto"/>
        <w:ind w:firstLine="720"/>
        <w:jc w:val="both"/>
        <w:rPr>
          <w:lang w:val="en-US"/>
        </w:rPr>
      </w:pPr>
      <w:r w:rsidRPr="00292037">
        <w:rPr>
          <w:lang w:val="en-US"/>
        </w:rPr>
        <w:t>B3= 15 days</w:t>
      </w:r>
    </w:p>
    <w:p w14:paraId="62DA5D0E" w14:textId="77777777" w:rsidR="00333D48" w:rsidRPr="00292037" w:rsidRDefault="00333D48" w:rsidP="00333D48">
      <w:pPr>
        <w:pStyle w:val="NormalWeb"/>
        <w:spacing w:before="0" w:beforeAutospacing="0" w:after="0" w:afterAutospacing="0" w:line="360" w:lineRule="auto"/>
        <w:jc w:val="both"/>
        <w:rPr>
          <w:b/>
          <w:bCs/>
        </w:rPr>
      </w:pPr>
      <w:r w:rsidRPr="00292037">
        <w:rPr>
          <w:b/>
          <w:bCs/>
        </w:rPr>
        <w:t>Preparation of Indigenous Probiotics from Black Soldier Fly Larvae</w:t>
      </w:r>
    </w:p>
    <w:p w14:paraId="2BC687BF" w14:textId="19174B83" w:rsidR="00333D48" w:rsidRPr="00292037" w:rsidRDefault="00333D48" w:rsidP="00EB474A">
      <w:pPr>
        <w:pStyle w:val="NormalWeb"/>
        <w:spacing w:before="0" w:beforeAutospacing="0" w:after="0" w:afterAutospacing="0" w:line="360" w:lineRule="auto"/>
        <w:ind w:firstLine="720"/>
        <w:jc w:val="both"/>
        <w:rPr>
          <w:lang w:eastAsia="en-ID"/>
        </w:rPr>
      </w:pPr>
      <w:r w:rsidRPr="00292037">
        <w:rPr>
          <w:lang w:val="en-ID" w:eastAsia="en-ID"/>
        </w:rPr>
        <w:t xml:space="preserve">The larval growth substrate consisted of tofu dregs pre-fermented with a commercial probiotic starter (Probio-7) for seven days to enhance microbial activity. Black Soldier Fly (BSF) larvae were then reared in </w:t>
      </w:r>
      <w:proofErr w:type="spellStart"/>
      <w:r w:rsidRPr="00292037">
        <w:rPr>
          <w:lang w:val="en-ID" w:eastAsia="en-ID"/>
        </w:rPr>
        <w:t>bioponds</w:t>
      </w:r>
      <w:proofErr w:type="spellEnd"/>
      <w:r w:rsidRPr="00292037">
        <w:rPr>
          <w:lang w:val="en-ID" w:eastAsia="en-ID"/>
        </w:rPr>
        <w:t xml:space="preserve"> containing the fermented tofu dregs as the primary substrate. The substrate moisture was maintained by daily spraying with distilled water, while manual mixing was performed every two days to prevent heat accumulation in the lower layers that could result in larval mortality. </w:t>
      </w:r>
      <w:r w:rsidRPr="00292037">
        <w:rPr>
          <w:lang w:eastAsia="en-ID"/>
        </w:rPr>
        <w:t>Larvae were harvested on day 18, prior to entering the prepupal stage</w:t>
      </w:r>
      <w:r w:rsidR="00041069" w:rsidRPr="00292037">
        <w:rPr>
          <w:lang w:val="en-US" w:eastAsia="en-ID"/>
        </w:rPr>
        <w:t xml:space="preserve"> (Amran et al., 2021)</w:t>
      </w:r>
      <w:r w:rsidRPr="00292037">
        <w:rPr>
          <w:lang w:eastAsia="en-ID"/>
        </w:rPr>
        <w:t>. The harvested larvae were separated from the residual substrate, thoroughly rinsed under running water, and air-dried to reduce surface moisture. The cleaned larvae were then homogenized using a chopper until a uniform paste was obtained, which served as the raw material for probiotic fermentation.</w:t>
      </w:r>
      <w:r w:rsidRPr="00292037">
        <w:rPr>
          <w:lang w:val="en-US" w:eastAsia="en-ID"/>
        </w:rPr>
        <w:t xml:space="preserve"> </w:t>
      </w:r>
      <w:r w:rsidRPr="00292037">
        <w:rPr>
          <w:lang w:eastAsia="en-ID"/>
        </w:rPr>
        <w:t xml:space="preserve">All fermentation apparatus, including bottles, hoses, and spatulas, were sterilized using an autoclave at 121°C for 15 minutes and subsequently cooled in a laminar airflow cabinet to ensure aseptic conditions. Approximately 150g of homogenized BSF larval paste was placed into each fermentation bottle and mixed with molasses according to the treatment levels (0%, 50%, or 100%), followed by the addition of 150mL of distilled water. The fermentation bottles were sealed to maintain </w:t>
      </w:r>
      <w:r w:rsidRPr="00292037">
        <w:rPr>
          <w:lang w:eastAsia="en-ID"/>
        </w:rPr>
        <w:lastRenderedPageBreak/>
        <w:t>anaerobic conditions and connected via flexible tubing to water-filled airlocks to release excess gas while preventing oxygen infiltration. The mixtures were incubated for 5, 10, or 15 days according to the treatment combinations, after which the samples were harvested and analyzed. The overall procedure is presented schematically in Fig 1.</w:t>
      </w:r>
    </w:p>
    <w:p w14:paraId="4903C9A0" w14:textId="71924D63" w:rsidR="00333D48" w:rsidRPr="00292037" w:rsidRDefault="00333D48" w:rsidP="00333D48">
      <w:pPr>
        <w:pStyle w:val="NormalWeb"/>
        <w:spacing w:before="0" w:beforeAutospacing="0" w:after="0" w:afterAutospacing="0" w:line="360" w:lineRule="auto"/>
        <w:jc w:val="both"/>
        <w:rPr>
          <w:b/>
          <w:bCs/>
        </w:rPr>
      </w:pPr>
      <w:r w:rsidRPr="00292037">
        <w:rPr>
          <w:b/>
          <w:bCs/>
        </w:rPr>
        <w:t>Measured Parameters</w:t>
      </w:r>
    </w:p>
    <w:p w14:paraId="7B33C790" w14:textId="259210AF" w:rsidR="00333D48" w:rsidRPr="00292037" w:rsidRDefault="00333D48" w:rsidP="00333D48">
      <w:pPr>
        <w:pStyle w:val="NormalWeb"/>
        <w:spacing w:before="0" w:beforeAutospacing="0" w:after="0" w:afterAutospacing="0" w:line="360" w:lineRule="auto"/>
        <w:jc w:val="both"/>
        <w:rPr>
          <w:b/>
          <w:bCs/>
        </w:rPr>
      </w:pPr>
      <w:r w:rsidRPr="00292037">
        <w:rPr>
          <w:b/>
          <w:bCs/>
          <w:lang w:val="en-US"/>
        </w:rPr>
        <w:t xml:space="preserve">1. </w:t>
      </w:r>
      <w:r w:rsidRPr="00292037">
        <w:rPr>
          <w:b/>
          <w:bCs/>
        </w:rPr>
        <w:t>pH Measurement</w:t>
      </w:r>
    </w:p>
    <w:p w14:paraId="6F96DBD8" w14:textId="4ED43F5D" w:rsidR="00333D48" w:rsidRPr="00292037" w:rsidRDefault="00333D48" w:rsidP="00333D48">
      <w:pPr>
        <w:pStyle w:val="NormalWeb"/>
        <w:spacing w:before="0" w:beforeAutospacing="0" w:after="0" w:afterAutospacing="0" w:line="360" w:lineRule="auto"/>
        <w:jc w:val="both"/>
      </w:pPr>
      <w:r w:rsidRPr="00292037">
        <w:tab/>
        <w:t>The pH value of the probiotic samples was measured using a calibrated digital pH meter (AOAC, 2005). The instrument was standardized at pH 4 and 7 before use. The electrode was immersed in the sample until a stable reading was obtained.</w:t>
      </w:r>
    </w:p>
    <w:p w14:paraId="3F8FAEF3" w14:textId="1ABE8BC0" w:rsidR="00333D48" w:rsidRPr="00292037" w:rsidRDefault="00333D48" w:rsidP="00333D48">
      <w:pPr>
        <w:pStyle w:val="NormalWeb"/>
        <w:spacing w:before="0" w:beforeAutospacing="0" w:after="0" w:afterAutospacing="0" w:line="360" w:lineRule="auto"/>
        <w:jc w:val="both"/>
        <w:rPr>
          <w:b/>
          <w:bCs/>
          <w:lang w:val="en-US"/>
        </w:rPr>
      </w:pPr>
      <w:r w:rsidRPr="00292037">
        <w:rPr>
          <w:b/>
          <w:bCs/>
        </w:rPr>
        <w:t>2. Total Titratable Acidity (TTA)</w:t>
      </w:r>
      <w:r w:rsidRPr="00292037">
        <w:rPr>
          <w:b/>
          <w:bCs/>
          <w:lang w:val="en-US"/>
        </w:rPr>
        <w:t xml:space="preserve"> (%)</w:t>
      </w:r>
    </w:p>
    <w:p w14:paraId="1B040F02" w14:textId="21061475" w:rsidR="00333D48" w:rsidRPr="00292037" w:rsidRDefault="00333D48" w:rsidP="00333D48">
      <w:pPr>
        <w:pStyle w:val="NormalWeb"/>
        <w:spacing w:before="0" w:beforeAutospacing="0" w:after="0" w:afterAutospacing="0" w:line="360" w:lineRule="auto"/>
        <w:jc w:val="both"/>
      </w:pPr>
      <w:r w:rsidRPr="00292037">
        <w:rPr>
          <w:b/>
          <w:bCs/>
          <w:lang w:val="en-US"/>
        </w:rPr>
        <w:tab/>
      </w:r>
      <w:r w:rsidRPr="00292037">
        <w:t>TTA was determined according to AOAC (2005). The supernatant was obtained by centrifuging the probiotic sample, and 10mL of the supernatant was diluted with sterile distilled water (1:10 ratio). The diluted sample was titrated with 0.1N NaOH using phenolphthalein as an indicator until a faint pink color appeared. The TTA value, expressed as a percentage of lactic acid equivalent, was calculated using the formula:</w:t>
      </w:r>
    </w:p>
    <w:p w14:paraId="1783197B" w14:textId="41AFD34C" w:rsidR="00ED67CF" w:rsidRPr="00292037" w:rsidRDefault="00ED67CF" w:rsidP="00ED67CF">
      <w:pPr>
        <w:shd w:val="clear" w:color="auto" w:fill="FFFFFF"/>
        <w:spacing w:after="0" w:line="240" w:lineRule="auto"/>
        <w:ind w:firstLine="720"/>
        <w:jc w:val="both"/>
        <w:rPr>
          <w:rFonts w:ascii="Times New Roman" w:eastAsia="Times New Roman" w:hAnsi="Times New Roman" w:cs="Times New Roman"/>
          <w:sz w:val="24"/>
          <w:szCs w:val="24"/>
          <w:lang w:eastAsia="id-ID"/>
        </w:rPr>
      </w:pPr>
      <m:oMathPara>
        <m:oMath>
          <m:r>
            <w:rPr>
              <w:rFonts w:ascii="Cambria Math" w:eastAsia="Times New Roman" w:hAnsi="Cambria Math" w:cs="Times New Roman"/>
              <w:sz w:val="24"/>
              <w:szCs w:val="24"/>
              <w:lang w:eastAsia="id-ID"/>
            </w:rPr>
            <m:t xml:space="preserve">TTA </m:t>
          </m:r>
          <m:d>
            <m:dPr>
              <m:ctrlPr>
                <w:rPr>
                  <w:rFonts w:ascii="Cambria Math" w:eastAsia="Times New Roman" w:hAnsi="Cambria Math" w:cs="Times New Roman"/>
                  <w:i/>
                  <w:sz w:val="24"/>
                  <w:szCs w:val="24"/>
                  <w:lang w:eastAsia="id-ID"/>
                </w:rPr>
              </m:ctrlPr>
            </m:dPr>
            <m:e>
              <m:r>
                <w:rPr>
                  <w:rFonts w:ascii="Cambria Math" w:eastAsia="Times New Roman" w:hAnsi="Cambria Math" w:cs="Times New Roman"/>
                  <w:sz w:val="24"/>
                  <w:szCs w:val="24"/>
                  <w:lang w:eastAsia="id-ID"/>
                </w:rPr>
                <m:t xml:space="preserve">% </m:t>
              </m:r>
            </m:e>
          </m:d>
          <m:r>
            <w:rPr>
              <w:rFonts w:ascii="Cambria Math" w:eastAsia="Times New Roman" w:hAnsi="Cambria Math" w:cs="Times New Roman"/>
              <w:sz w:val="24"/>
              <w:szCs w:val="24"/>
              <w:lang w:eastAsia="id-ID"/>
            </w:rPr>
            <m:t xml:space="preserve">= </m:t>
          </m:r>
          <m:f>
            <m:fPr>
              <m:ctrlPr>
                <w:rPr>
                  <w:rFonts w:ascii="Cambria Math" w:eastAsia="Times New Roman" w:hAnsi="Cambria Math" w:cs="Times New Roman"/>
                  <w:sz w:val="24"/>
                  <w:szCs w:val="24"/>
                  <w:lang w:eastAsia="id-ID"/>
                </w:rPr>
              </m:ctrlPr>
            </m:fPr>
            <m:num>
              <m:r>
                <w:rPr>
                  <w:rFonts w:ascii="Cambria Math" w:eastAsia="Times New Roman" w:hAnsi="Cambria Math" w:cs="Times New Roman"/>
                  <w:sz w:val="24"/>
                  <w:szCs w:val="24"/>
                  <w:lang w:eastAsia="id-ID"/>
                </w:rPr>
                <m:t>N x V1 x Eq. Wt</m:t>
              </m:r>
            </m:num>
            <m:den>
              <m:r>
                <w:rPr>
                  <w:rFonts w:ascii="Cambria Math" w:eastAsia="Times New Roman" w:hAnsi="Cambria Math" w:cs="Times New Roman"/>
                  <w:sz w:val="24"/>
                  <w:szCs w:val="24"/>
                  <w:lang w:eastAsia="id-ID"/>
                </w:rPr>
                <m:t>V2 x 10</m:t>
              </m:r>
            </m:den>
          </m:f>
        </m:oMath>
      </m:oMathPara>
    </w:p>
    <w:p w14:paraId="6D81E4ED" w14:textId="77777777" w:rsidR="00333D48" w:rsidRPr="00292037" w:rsidRDefault="00333D48" w:rsidP="00333D48">
      <w:pPr>
        <w:pStyle w:val="NormalWeb"/>
        <w:spacing w:before="0" w:beforeAutospacing="0" w:after="0" w:afterAutospacing="0" w:line="360" w:lineRule="auto"/>
        <w:jc w:val="both"/>
      </w:pPr>
    </w:p>
    <w:p w14:paraId="61B2FC4C" w14:textId="4A1A5F1A" w:rsidR="00333D48" w:rsidRPr="00292037" w:rsidRDefault="00333D48" w:rsidP="00292037">
      <w:pPr>
        <w:pStyle w:val="NormalWeb"/>
        <w:spacing w:before="0" w:beforeAutospacing="0" w:after="0" w:afterAutospacing="0" w:line="360" w:lineRule="auto"/>
        <w:jc w:val="both"/>
      </w:pPr>
      <w:r w:rsidRPr="00292037">
        <w:t>Where:</w:t>
      </w:r>
      <w:r w:rsidRPr="00292037">
        <w:br/>
        <w:t>N = Normality of titrant (mol</w:t>
      </w:r>
      <w:r w:rsidR="00C8085C" w:rsidRPr="00292037">
        <w:rPr>
          <w:lang w:val="en-US"/>
        </w:rPr>
        <w:t>/</w:t>
      </w:r>
      <w:r w:rsidRPr="00292037">
        <w:t>L)</w:t>
      </w:r>
    </w:p>
    <w:p w14:paraId="2922F41A" w14:textId="1319D953" w:rsidR="00333D48" w:rsidRPr="00292037" w:rsidRDefault="00333D48" w:rsidP="00333D48">
      <w:pPr>
        <w:pStyle w:val="NormalWeb"/>
        <w:spacing w:before="0" w:beforeAutospacing="0" w:after="0" w:afterAutospacing="0" w:line="360" w:lineRule="auto"/>
        <w:jc w:val="both"/>
      </w:pPr>
      <w:r w:rsidRPr="00292037">
        <w:t>V₁ = Volume of titrant (mL)</w:t>
      </w:r>
    </w:p>
    <w:p w14:paraId="6578C3E0" w14:textId="33679DF1" w:rsidR="00333D48" w:rsidRPr="00292037" w:rsidRDefault="00333D48" w:rsidP="00333D48">
      <w:pPr>
        <w:pStyle w:val="NormalWeb"/>
        <w:spacing w:before="0" w:beforeAutospacing="0" w:after="0" w:afterAutospacing="0" w:line="360" w:lineRule="auto"/>
        <w:jc w:val="both"/>
      </w:pPr>
      <w:r w:rsidRPr="00292037">
        <w:t>V₂ = Volume of sample (mL)</w:t>
      </w:r>
    </w:p>
    <w:p w14:paraId="1B4CDA7F" w14:textId="2B3838AF" w:rsidR="00333D48" w:rsidRPr="00292037" w:rsidRDefault="00333D48" w:rsidP="00333D48">
      <w:pPr>
        <w:pStyle w:val="NormalWeb"/>
        <w:spacing w:before="0" w:beforeAutospacing="0" w:after="0" w:afterAutospacing="0" w:line="360" w:lineRule="auto"/>
        <w:jc w:val="both"/>
      </w:pPr>
      <w:r w:rsidRPr="00292037">
        <w:t>Eq.Wt = Equivalent weight of lactic acid (90.08)</w:t>
      </w:r>
    </w:p>
    <w:p w14:paraId="315FFC30" w14:textId="77777777" w:rsidR="00333D48" w:rsidRPr="00292037" w:rsidRDefault="00333D48" w:rsidP="00333D48">
      <w:pPr>
        <w:pStyle w:val="NormalWeb"/>
        <w:spacing w:before="0" w:beforeAutospacing="0" w:after="0" w:afterAutospacing="0" w:line="360" w:lineRule="auto"/>
        <w:jc w:val="both"/>
        <w:rPr>
          <w:b/>
          <w:bCs/>
        </w:rPr>
      </w:pPr>
      <w:r w:rsidRPr="00292037">
        <w:rPr>
          <w:b/>
          <w:bCs/>
        </w:rPr>
        <w:t>3. Microbial Population Count</w:t>
      </w:r>
    </w:p>
    <w:p w14:paraId="3B2F9C0D" w14:textId="3181F0D4" w:rsidR="00333D48" w:rsidRPr="00292037" w:rsidRDefault="00333D48" w:rsidP="00292037">
      <w:pPr>
        <w:pStyle w:val="NormalWeb"/>
        <w:spacing w:before="0" w:beforeAutospacing="0" w:after="0" w:afterAutospacing="0" w:line="360" w:lineRule="auto"/>
        <w:ind w:firstLine="360"/>
        <w:jc w:val="both"/>
      </w:pPr>
      <w:r w:rsidRPr="00292037">
        <w:t>The total microbial population was determined using the Total Plate Count (TPC) method. Media used for enumeration included</w:t>
      </w:r>
      <w:r w:rsidRPr="00292037">
        <w:rPr>
          <w:lang w:val="en-US"/>
        </w:rPr>
        <w:t xml:space="preserve"> </w:t>
      </w:r>
      <w:r w:rsidRPr="00292037">
        <w:rPr>
          <w:rStyle w:val="Strong"/>
          <w:b w:val="0"/>
          <w:bCs w:val="0"/>
        </w:rPr>
        <w:t>Lactic Acid Bacteria (LAB)</w:t>
      </w:r>
      <w:r w:rsidRPr="00292037">
        <w:rPr>
          <w:rStyle w:val="Strong"/>
          <w:b w:val="0"/>
          <w:bCs w:val="0"/>
          <w:lang w:val="en-US"/>
        </w:rPr>
        <w:t xml:space="preserve">: </w:t>
      </w:r>
      <w:r w:rsidRPr="00292037">
        <w:t>de Man, Rogosa, and Sharpe Agar (MRSA)</w:t>
      </w:r>
      <w:r w:rsidRPr="00292037">
        <w:rPr>
          <w:b/>
          <w:bCs/>
          <w:lang w:val="en-US"/>
        </w:rPr>
        <w:t xml:space="preserve">; </w:t>
      </w:r>
      <w:r w:rsidRPr="00292037">
        <w:rPr>
          <w:rStyle w:val="Strong"/>
          <w:b w:val="0"/>
          <w:bCs w:val="0"/>
        </w:rPr>
        <w:t>Actinomycetes</w:t>
      </w:r>
      <w:r w:rsidRPr="00292037">
        <w:rPr>
          <w:rStyle w:val="Strong"/>
          <w:b w:val="0"/>
          <w:bCs w:val="0"/>
          <w:lang w:val="en-US"/>
        </w:rPr>
        <w:t xml:space="preserve">: </w:t>
      </w:r>
      <w:r w:rsidRPr="00292037">
        <w:t>Starch Casein Agar (SCA)</w:t>
      </w:r>
      <w:r w:rsidRPr="00292037">
        <w:rPr>
          <w:lang w:val="en-US"/>
        </w:rPr>
        <w:t xml:space="preserve">; </w:t>
      </w:r>
      <w:r w:rsidRPr="00292037">
        <w:rPr>
          <w:rStyle w:val="Strong"/>
          <w:b w:val="0"/>
          <w:bCs w:val="0"/>
          <w:i/>
          <w:iCs/>
        </w:rPr>
        <w:t>Bacillus sp</w:t>
      </w:r>
      <w:r w:rsidRPr="00292037">
        <w:rPr>
          <w:rStyle w:val="Strong"/>
          <w:b w:val="0"/>
          <w:bCs w:val="0"/>
        </w:rPr>
        <w:t>.:</w:t>
      </w:r>
      <w:r w:rsidRPr="00292037">
        <w:t xml:space="preserve"> Tryptic Soy Agar (TSA)</w:t>
      </w:r>
      <w:r w:rsidRPr="00292037">
        <w:rPr>
          <w:b/>
          <w:bCs/>
          <w:lang w:val="en-US"/>
        </w:rPr>
        <w:t xml:space="preserve">; </w:t>
      </w:r>
      <w:r w:rsidRPr="00292037">
        <w:rPr>
          <w:rStyle w:val="Strong"/>
          <w:b w:val="0"/>
          <w:bCs w:val="0"/>
        </w:rPr>
        <w:t>Yeast:</w:t>
      </w:r>
      <w:r w:rsidRPr="00292037">
        <w:t xml:space="preserve"> Potato Dextrose Agar (PDA)</w:t>
      </w:r>
      <w:r w:rsidRPr="00292037">
        <w:rPr>
          <w:lang w:val="en-US"/>
        </w:rPr>
        <w:t xml:space="preserve">. </w:t>
      </w:r>
      <w:r w:rsidRPr="00292037">
        <w:t>All tools and media were sterilized using an autoclave at 121°C for 15 minutes. One milliliter of sample was added to 9</w:t>
      </w:r>
      <w:r w:rsidR="00C8085C" w:rsidRPr="00292037">
        <w:t>mL</w:t>
      </w:r>
      <w:r w:rsidRPr="00292037">
        <w:t xml:space="preserve"> of 0.1% Buffered Peptone Water (BPW) and vortexed for 1 minute to prepare the 10⁻¹ dilution. Serial dilutions were made up to 10⁻⁷. From each dilution, 1mL was poured into sterile Petri dishes (in triplicate) and mixed with molten agar. After solidification, plates were incubated at 37°C for 24 hours in an inverted position. The colony-forming units (CFU/mL) were calculated using the formula:</w:t>
      </w:r>
    </w:p>
    <w:p w14:paraId="0F83388C" w14:textId="0E1C5117" w:rsidR="00ED67CF" w:rsidRPr="00292037" w:rsidRDefault="00ED67CF" w:rsidP="00ED67C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colony Forming Units</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CFU</m:t>
                  </m:r>
                </m:num>
                <m:den>
                  <m:r>
                    <w:rPr>
                      <w:rFonts w:ascii="Cambria Math" w:hAnsi="Cambria Math" w:cs="Times New Roman"/>
                      <w:sz w:val="24"/>
                      <w:szCs w:val="24"/>
                    </w:rPr>
                    <m:t>ml</m:t>
                  </m:r>
                </m:den>
              </m:f>
            </m:e>
          </m:d>
          <m:r>
            <w:rPr>
              <w:rFonts w:ascii="Cambria Math" w:hAnsi="Cambria Math" w:cs="Times New Roman"/>
              <w:sz w:val="24"/>
              <w:szCs w:val="24"/>
            </w:rPr>
            <m:t>=Number of colonies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dilution factor</m:t>
              </m:r>
            </m:den>
          </m:f>
        </m:oMath>
      </m:oMathPara>
    </w:p>
    <w:p w14:paraId="7709C574" w14:textId="4CE8E794" w:rsidR="00ED67CF" w:rsidRPr="00292037" w:rsidRDefault="00ED67CF" w:rsidP="00ED67CF">
      <w:pPr>
        <w:pStyle w:val="NormalWeb"/>
        <w:spacing w:before="0" w:beforeAutospacing="0" w:after="0" w:afterAutospacing="0" w:line="360" w:lineRule="auto"/>
        <w:jc w:val="both"/>
      </w:pPr>
    </w:p>
    <w:p w14:paraId="1E08FD19" w14:textId="78C90548" w:rsidR="00ED67CF" w:rsidRPr="00292037" w:rsidRDefault="00ED67CF" w:rsidP="00ED67CF">
      <w:pPr>
        <w:pStyle w:val="NormalWeb"/>
        <w:spacing w:before="0" w:beforeAutospacing="0" w:after="0" w:afterAutospacing="0" w:line="360" w:lineRule="auto"/>
        <w:jc w:val="both"/>
        <w:rPr>
          <w:b/>
          <w:bCs/>
          <w:lang w:val="en-US"/>
        </w:rPr>
      </w:pPr>
      <w:r w:rsidRPr="00292037">
        <w:rPr>
          <w:b/>
          <w:bCs/>
          <w:lang w:val="en-US"/>
        </w:rPr>
        <w:t>Data Analysis</w:t>
      </w:r>
    </w:p>
    <w:p w14:paraId="7E318D86" w14:textId="6100D599" w:rsidR="00ED67CF" w:rsidRPr="00292037" w:rsidRDefault="00ED67CF" w:rsidP="00ED67CF">
      <w:pPr>
        <w:pStyle w:val="NormalWeb"/>
        <w:spacing w:before="0" w:beforeAutospacing="0" w:after="0" w:afterAutospacing="0" w:line="360" w:lineRule="auto"/>
        <w:ind w:firstLine="720"/>
        <w:jc w:val="both"/>
        <w:rPr>
          <w:b/>
          <w:bCs/>
          <w:lang w:val="en-US"/>
        </w:rPr>
      </w:pPr>
      <w:r w:rsidRPr="00292037">
        <w:t>Data were analyzed using Analysis of Variance (ANOVA) based on a completely randomized factorial design. When significant differences (P</w:t>
      </w:r>
      <w:r w:rsidR="00C8085C" w:rsidRPr="00292037">
        <w:t>&lt;</w:t>
      </w:r>
      <w:r w:rsidRPr="00292037">
        <w:t>0.05) were observed, means were further compared using Duncan’s Multiple Range Test (DMRT).</w:t>
      </w:r>
    </w:p>
    <w:p w14:paraId="3AE6EE77" w14:textId="77777777" w:rsidR="00ED67CF" w:rsidRPr="00292037" w:rsidRDefault="00ED67CF" w:rsidP="00ED67CF">
      <w:pPr>
        <w:pStyle w:val="NormalWeb"/>
        <w:spacing w:before="0" w:beforeAutospacing="0" w:after="0" w:afterAutospacing="0" w:line="360" w:lineRule="auto"/>
        <w:jc w:val="both"/>
        <w:rPr>
          <w:b/>
          <w:bCs/>
          <w:lang w:val="en-US"/>
        </w:rPr>
      </w:pPr>
    </w:p>
    <w:p w14:paraId="6B260486" w14:textId="6B3A3FF5" w:rsidR="00ED67CF" w:rsidRPr="00292037" w:rsidRDefault="00ED67CF" w:rsidP="00ED67CF">
      <w:pPr>
        <w:pStyle w:val="NormalWeb"/>
        <w:spacing w:before="0" w:beforeAutospacing="0" w:after="0" w:afterAutospacing="0" w:line="360" w:lineRule="auto"/>
        <w:jc w:val="both"/>
        <w:rPr>
          <w:b/>
          <w:bCs/>
          <w:lang w:val="en-US"/>
        </w:rPr>
      </w:pPr>
      <w:r w:rsidRPr="00292037">
        <w:rPr>
          <w:b/>
          <w:bCs/>
          <w:lang w:val="en-US"/>
        </w:rPr>
        <w:t xml:space="preserve">Results </w:t>
      </w:r>
    </w:p>
    <w:p w14:paraId="2B2DD06A" w14:textId="644D347F" w:rsidR="00ED67CF" w:rsidRPr="00292037" w:rsidRDefault="00ED67CF" w:rsidP="00292037">
      <w:pPr>
        <w:pStyle w:val="NormalWeb"/>
        <w:spacing w:before="0" w:beforeAutospacing="0" w:after="0" w:afterAutospacing="0" w:line="360" w:lineRule="auto"/>
        <w:jc w:val="both"/>
        <w:rPr>
          <w:b/>
          <w:bCs/>
        </w:rPr>
      </w:pPr>
      <w:r w:rsidRPr="00292037">
        <w:rPr>
          <w:b/>
          <w:bCs/>
        </w:rPr>
        <w:t>Effect of Treatments on pH Value and Total Titrata</w:t>
      </w:r>
      <w:r w:rsidR="00292037">
        <w:rPr>
          <w:b/>
          <w:bCs/>
        </w:rPr>
        <w:t xml:space="preserve">ble Acidity (TTA) </w:t>
      </w:r>
    </w:p>
    <w:p w14:paraId="21BABFE2" w14:textId="5F44C013" w:rsidR="00ED67CF" w:rsidRPr="00292037" w:rsidRDefault="00ED67CF" w:rsidP="00DE63F8">
      <w:pPr>
        <w:pStyle w:val="NormalWeb"/>
        <w:spacing w:before="0" w:beforeAutospacing="0" w:after="0" w:afterAutospacing="0" w:line="360" w:lineRule="auto"/>
        <w:ind w:firstLine="720"/>
        <w:jc w:val="both"/>
        <w:rPr>
          <w:lang w:eastAsia="en-ID"/>
        </w:rPr>
      </w:pPr>
      <w:r w:rsidRPr="00292037">
        <w:rPr>
          <w:lang w:eastAsia="en-ID"/>
        </w:rPr>
        <w:t>The analysis of variance revealed a significant interaction (P&lt;0.05) between molasses concentration and incubation time on both pH and total titratable acidity (TTA) values (Table 1). The results of the Duncan’s Multiple Range Test (DMRT) indicated that the pH value of BSF larval probiotics in treatment A2B2 was not significantly different (P&gt;0.05) from treatments A3B2 and A3B3, but was significantly lower (P&lt;0.05) compared to treatments A3B1, A2B3, A2B1, A1B2, A1B1, and A1B3.</w:t>
      </w:r>
      <w:r w:rsidRPr="00292037">
        <w:rPr>
          <w:lang w:val="en-US" w:eastAsia="en-ID"/>
        </w:rPr>
        <w:t xml:space="preserve"> </w:t>
      </w:r>
      <w:r w:rsidRPr="00292037">
        <w:rPr>
          <w:lang w:eastAsia="en-ID"/>
        </w:rPr>
        <w:t>Similarly, the DMRT results for total titratable acidity showed that treatment A2B3 was not significantly different (P&gt;0.05) from treatment A3B2, but exhibited a significantly higher TTA value (P&lt;0.05) compared to treatments A3B3, A3B1, A2B2, A2B1, A1B3, A1B2, and A1B1.</w:t>
      </w:r>
    </w:p>
    <w:p w14:paraId="54C73FFB" w14:textId="5C48C9A7" w:rsidR="00ED67CF" w:rsidRPr="00292037" w:rsidRDefault="00ED67CF" w:rsidP="00292037">
      <w:pPr>
        <w:pStyle w:val="NormalWeb"/>
        <w:spacing w:before="0" w:beforeAutospacing="0" w:after="0" w:afterAutospacing="0" w:line="360" w:lineRule="auto"/>
        <w:jc w:val="both"/>
        <w:rPr>
          <w:b/>
          <w:bCs/>
        </w:rPr>
      </w:pPr>
      <w:r w:rsidRPr="00292037">
        <w:rPr>
          <w:b/>
          <w:bCs/>
        </w:rPr>
        <w:t>Effect of Treatments on Total Lactic Acid Bacteria</w:t>
      </w:r>
      <w:r w:rsidR="00DE63F8" w:rsidRPr="00292037">
        <w:rPr>
          <w:b/>
          <w:bCs/>
          <w:lang w:val="en-US"/>
        </w:rPr>
        <w:t xml:space="preserve">, </w:t>
      </w:r>
      <w:r w:rsidRPr="00292037">
        <w:rPr>
          <w:b/>
          <w:bCs/>
        </w:rPr>
        <w:t>Actinomycetes</w:t>
      </w:r>
      <w:r w:rsidR="00DE63F8" w:rsidRPr="00292037">
        <w:rPr>
          <w:b/>
          <w:bCs/>
          <w:lang w:val="en-US"/>
        </w:rPr>
        <w:t xml:space="preserve">, </w:t>
      </w:r>
      <w:r w:rsidR="00DE63F8" w:rsidRPr="00292037">
        <w:rPr>
          <w:rStyle w:val="Emphasis"/>
          <w:b/>
          <w:bCs/>
        </w:rPr>
        <w:t>Bacillus</w:t>
      </w:r>
      <w:r w:rsidR="00DE63F8" w:rsidRPr="00292037">
        <w:rPr>
          <w:b/>
          <w:bCs/>
        </w:rPr>
        <w:t xml:space="preserve"> sp. and Yeast </w:t>
      </w:r>
    </w:p>
    <w:p w14:paraId="5E7E03AE" w14:textId="77777777" w:rsidR="00DE63F8" w:rsidRPr="00292037" w:rsidRDefault="00ED67CF" w:rsidP="00DE63F8">
      <w:pPr>
        <w:pStyle w:val="NormalWeb"/>
        <w:spacing w:before="0" w:beforeAutospacing="0" w:after="0" w:afterAutospacing="0" w:line="360" w:lineRule="auto"/>
        <w:ind w:firstLine="720"/>
        <w:jc w:val="both"/>
        <w:rPr>
          <w:lang w:val="en-US" w:eastAsia="en-ID"/>
        </w:rPr>
      </w:pPr>
      <w:r w:rsidRPr="00292037">
        <w:rPr>
          <w:lang w:eastAsia="en-ID"/>
        </w:rPr>
        <w:t>The analysis of variance revealed a significant interaction (P&lt;0.05) between molasses concentration and incubation time on the total population of lactic acid bacteria</w:t>
      </w:r>
      <w:r w:rsidR="00DE63F8" w:rsidRPr="00292037">
        <w:rPr>
          <w:lang w:val="en-US" w:eastAsia="en-ID"/>
        </w:rPr>
        <w:t xml:space="preserve">, </w:t>
      </w:r>
      <w:r w:rsidRPr="00292037">
        <w:rPr>
          <w:lang w:eastAsia="en-ID"/>
        </w:rPr>
        <w:t>actinomycetes (Table 2)</w:t>
      </w:r>
      <w:r w:rsidR="00DE63F8" w:rsidRPr="00292037">
        <w:rPr>
          <w:lang w:val="en-US" w:eastAsia="en-ID"/>
        </w:rPr>
        <w:t>, Bacillus sp. and Yeast</w:t>
      </w:r>
      <w:r w:rsidRPr="00292037">
        <w:rPr>
          <w:lang w:eastAsia="en-ID"/>
        </w:rPr>
        <w:t xml:space="preserve"> </w:t>
      </w:r>
      <w:r w:rsidR="00DE63F8" w:rsidRPr="00292037">
        <w:rPr>
          <w:lang w:val="en-US" w:eastAsia="en-ID"/>
        </w:rPr>
        <w:t xml:space="preserve">(Table 3). </w:t>
      </w:r>
      <w:r w:rsidRPr="00292037">
        <w:rPr>
          <w:lang w:eastAsia="en-ID"/>
        </w:rPr>
        <w:t>The results of the Duncan’s Multiple Range Test (DMRT) indicated that the total lactic acid bacteria count in BSF larval probiotics under treatment A3B2 was not significantly different (P&gt;0.05) from treatment A2B2, but was significantly higher (P&lt;0.05) compared to treatments A3B1, A2B3, A3B3, A2B1, A1B2, A1B1, and A1B3.</w:t>
      </w:r>
      <w:r w:rsidRPr="00292037">
        <w:rPr>
          <w:lang w:val="en-US" w:eastAsia="en-ID"/>
        </w:rPr>
        <w:t xml:space="preserve"> </w:t>
      </w:r>
      <w:r w:rsidRPr="00292037">
        <w:rPr>
          <w:lang w:eastAsia="en-ID"/>
        </w:rPr>
        <w:t>Similarly, the DMRT results showed that the total actinomycetes count in BSF larval probiotics under treatment A2B2 was not significantly different (P&gt;0.05) from treatments A3B2, A2B3, and A3B1, but was significantly higher (P&lt;0.05) compared to treatments A2B1, A3B3, A1B2, A1B3, and A1B1.</w:t>
      </w:r>
      <w:r w:rsidR="00DE63F8" w:rsidRPr="00292037">
        <w:rPr>
          <w:lang w:val="en-US" w:eastAsia="en-ID"/>
        </w:rPr>
        <w:t xml:space="preserve"> </w:t>
      </w:r>
    </w:p>
    <w:p w14:paraId="5FD7AD52" w14:textId="047D85AD" w:rsidR="00ED67CF" w:rsidRPr="00292037" w:rsidRDefault="00ED67CF" w:rsidP="00DE63F8">
      <w:pPr>
        <w:pStyle w:val="NormalWeb"/>
        <w:spacing w:before="0" w:beforeAutospacing="0" w:after="0" w:afterAutospacing="0" w:line="360" w:lineRule="auto"/>
        <w:ind w:firstLine="720"/>
        <w:jc w:val="both"/>
        <w:rPr>
          <w:lang w:eastAsia="en-ID"/>
        </w:rPr>
      </w:pPr>
      <w:r w:rsidRPr="00292037">
        <w:rPr>
          <w:lang w:eastAsia="en-ID"/>
        </w:rPr>
        <w:t xml:space="preserve">Results of the Duncan’s Multiple Range Test (DMRT) indicated that the total </w:t>
      </w:r>
      <w:r w:rsidRPr="00292037">
        <w:rPr>
          <w:i/>
          <w:iCs/>
          <w:lang w:eastAsia="en-ID"/>
        </w:rPr>
        <w:t>Bacillus</w:t>
      </w:r>
      <w:r w:rsidRPr="00292037">
        <w:rPr>
          <w:lang w:eastAsia="en-ID"/>
        </w:rPr>
        <w:t xml:space="preserve"> sp. count in BSF larval probiotics under treatment A2B2 was not significantly different (P&gt;0.05) from treatment A3B2, but was significantly higher (P&lt;0.05) compared to treatments A3B3, A2B3, A2B1, A3B1, A1B1, A1B2, and A1B3.</w:t>
      </w:r>
      <w:r w:rsidRPr="00292037">
        <w:rPr>
          <w:lang w:val="en-US" w:eastAsia="en-ID"/>
        </w:rPr>
        <w:t xml:space="preserve"> </w:t>
      </w:r>
      <w:r w:rsidRPr="00292037">
        <w:rPr>
          <w:lang w:eastAsia="en-ID"/>
        </w:rPr>
        <w:t xml:space="preserve">Similarly, the DMRT results showed </w:t>
      </w:r>
      <w:r w:rsidRPr="00292037">
        <w:rPr>
          <w:lang w:eastAsia="en-ID"/>
        </w:rPr>
        <w:lastRenderedPageBreak/>
        <w:t>that the total yeast count in BSF larval probiotics under treatment A2B2 was not significantly different (P&gt;0.05) from treatment A3B2, but was significantly higher (P&lt;0.05) than treatments A2B3, A2B1, A3B1, A3B3, A1B2, A1B3, and A1B1.</w:t>
      </w:r>
    </w:p>
    <w:p w14:paraId="02CE6B85" w14:textId="43FF91E0" w:rsidR="00ED67CF" w:rsidRPr="00292037" w:rsidRDefault="00ED67CF" w:rsidP="00ED67CF">
      <w:pPr>
        <w:pStyle w:val="NormalWeb"/>
        <w:spacing w:before="0" w:beforeAutospacing="0" w:after="0" w:afterAutospacing="0" w:line="360" w:lineRule="auto"/>
        <w:jc w:val="both"/>
        <w:rPr>
          <w:lang w:eastAsia="en-ID"/>
        </w:rPr>
      </w:pPr>
    </w:p>
    <w:p w14:paraId="6D9F2100" w14:textId="069D8BE7" w:rsidR="00DE63F8" w:rsidRPr="00292037" w:rsidRDefault="00ED67CF" w:rsidP="00DE63F8">
      <w:pPr>
        <w:pStyle w:val="NormalWeb"/>
        <w:spacing w:before="0" w:beforeAutospacing="0" w:after="0" w:afterAutospacing="0" w:line="360" w:lineRule="auto"/>
        <w:jc w:val="both"/>
        <w:rPr>
          <w:b/>
          <w:bCs/>
          <w:lang w:val="en-US" w:eastAsia="en-ID"/>
        </w:rPr>
      </w:pPr>
      <w:r w:rsidRPr="00292037">
        <w:rPr>
          <w:b/>
          <w:bCs/>
          <w:lang w:val="en-US" w:eastAsia="en-ID"/>
        </w:rPr>
        <w:t>Discussion</w:t>
      </w:r>
    </w:p>
    <w:p w14:paraId="650CD5DD" w14:textId="780F2D97" w:rsidR="00DE63F8" w:rsidRPr="00292037" w:rsidRDefault="00DE63F8" w:rsidP="00292037">
      <w:pPr>
        <w:pStyle w:val="NormalWeb"/>
        <w:spacing w:before="0" w:beforeAutospacing="0" w:after="0" w:afterAutospacing="0" w:line="360" w:lineRule="auto"/>
        <w:jc w:val="both"/>
        <w:rPr>
          <w:b/>
          <w:bCs/>
        </w:rPr>
      </w:pPr>
      <w:r w:rsidRPr="00292037">
        <w:rPr>
          <w:b/>
          <w:bCs/>
        </w:rPr>
        <w:t>Effect of Treatments on pH Value and Total Titratable Acidity (TTA)</w:t>
      </w:r>
    </w:p>
    <w:p w14:paraId="04BE7A26" w14:textId="729AA9C2" w:rsidR="00EB474A" w:rsidRPr="00292037" w:rsidRDefault="00EB474A" w:rsidP="00EB474A">
      <w:pPr>
        <w:pStyle w:val="NormalWeb"/>
        <w:spacing w:before="0" w:beforeAutospacing="0" w:after="0" w:afterAutospacing="0" w:line="360" w:lineRule="auto"/>
        <w:ind w:firstLine="720"/>
        <w:jc w:val="both"/>
        <w:rPr>
          <w:lang w:val="en-ID" w:eastAsia="en-ID"/>
        </w:rPr>
      </w:pPr>
      <w:r w:rsidRPr="00292037">
        <w:rPr>
          <w:lang w:val="en-ID" w:eastAsia="en-ID"/>
        </w:rPr>
        <w:t xml:space="preserve">The pH value serves as a key indicator of fermentation success, reflecting the metabolic activity of microorganisms, particularly lactic acid bacteria (LAB), in converting substrates into organic acids. The interaction between molasses concentration and incubation time significantly influenced the pH of probiotics derived from </w:t>
      </w:r>
      <w:proofErr w:type="spellStart"/>
      <w:r w:rsidRPr="00292037">
        <w:rPr>
          <w:i/>
          <w:iCs/>
          <w:lang w:val="en-ID" w:eastAsia="en-ID"/>
        </w:rPr>
        <w:t>Hermetia</w:t>
      </w:r>
      <w:proofErr w:type="spellEnd"/>
      <w:r w:rsidRPr="00292037">
        <w:rPr>
          <w:i/>
          <w:iCs/>
          <w:lang w:val="en-ID" w:eastAsia="en-ID"/>
        </w:rPr>
        <w:t xml:space="preserve"> </w:t>
      </w:r>
      <w:proofErr w:type="spellStart"/>
      <w:r w:rsidRPr="00292037">
        <w:rPr>
          <w:i/>
          <w:iCs/>
          <w:lang w:val="en-ID" w:eastAsia="en-ID"/>
        </w:rPr>
        <w:t>illucens</w:t>
      </w:r>
      <w:proofErr w:type="spellEnd"/>
      <w:r w:rsidRPr="00292037">
        <w:rPr>
          <w:lang w:val="en-ID" w:eastAsia="en-ID"/>
        </w:rPr>
        <w:t xml:space="preserve"> larvae. Treatment A2B2 (50% molasses, 10 days) yielded the lowest pH (3.91), indicating high LAB activity in utilizing molasses as a carbon source. Molasses, rich in sucrose, glucose, and fructose, provides easily fermentable sugars that enhance lactic acid synthesis through the Embden–Meyerhof pathway. Increasing molasses up to 50% promoted LAB growth, whereas excessive levels (100%) caused osmotic stress that limited enzymatic efficiency (</w:t>
      </w:r>
      <w:proofErr w:type="spellStart"/>
      <w:r w:rsidR="00050097" w:rsidRPr="00292037">
        <w:rPr>
          <w:lang w:val="en-ID" w:eastAsia="en-ID"/>
        </w:rPr>
        <w:t>Hawaz</w:t>
      </w:r>
      <w:proofErr w:type="spellEnd"/>
      <w:r w:rsidRPr="00292037">
        <w:rPr>
          <w:lang w:val="en-ID" w:eastAsia="en-ID"/>
        </w:rPr>
        <w:t xml:space="preserve"> et al., 202</w:t>
      </w:r>
      <w:r w:rsidR="00050097" w:rsidRPr="00292037">
        <w:rPr>
          <w:lang w:val="en-ID" w:eastAsia="en-ID"/>
        </w:rPr>
        <w:t>3</w:t>
      </w:r>
      <w:r w:rsidRPr="00292037">
        <w:rPr>
          <w:lang w:val="en-ID" w:eastAsia="en-ID"/>
        </w:rPr>
        <w:t xml:space="preserve">; </w:t>
      </w:r>
      <w:r w:rsidR="00050097" w:rsidRPr="00292037">
        <w:rPr>
          <w:lang w:val="en-ID" w:eastAsia="en-ID"/>
        </w:rPr>
        <w:t xml:space="preserve">Vidra </w:t>
      </w:r>
      <w:r w:rsidR="006131D6">
        <w:rPr>
          <w:lang w:val="en-ID" w:eastAsia="en-ID"/>
        </w:rPr>
        <w:t>&amp;</w:t>
      </w:r>
      <w:r w:rsidR="00050097" w:rsidRPr="00292037">
        <w:rPr>
          <w:lang w:val="en-ID" w:eastAsia="en-ID"/>
        </w:rPr>
        <w:t xml:space="preserve"> Nemeth</w:t>
      </w:r>
      <w:r w:rsidRPr="00292037">
        <w:rPr>
          <w:lang w:val="en-ID" w:eastAsia="en-ID"/>
        </w:rPr>
        <w:t>, 20</w:t>
      </w:r>
      <w:r w:rsidR="00050097" w:rsidRPr="00292037">
        <w:rPr>
          <w:lang w:val="en-ID" w:eastAsia="en-ID"/>
        </w:rPr>
        <w:t>17</w:t>
      </w:r>
      <w:r w:rsidRPr="00292037">
        <w:rPr>
          <w:lang w:val="en-ID" w:eastAsia="en-ID"/>
        </w:rPr>
        <w:t>). Incubation time also played a crucial role</w:t>
      </w:r>
      <w:r w:rsidR="006131D6">
        <w:rPr>
          <w:lang w:val="en-ID" w:eastAsia="en-ID"/>
        </w:rPr>
        <w:t>; 10 days represented the optimal phase of active LAB metabolism, while shorter (5 days) or longer (15 days) fermentations resulted in higher pH values due to incomplete acid formation or acid degradation by microorganisms</w:t>
      </w:r>
      <w:r w:rsidR="00DC472C" w:rsidRPr="00292037">
        <w:rPr>
          <w:lang w:val="en-ID" w:eastAsia="en-ID"/>
        </w:rPr>
        <w:t xml:space="preserve"> </w:t>
      </w:r>
      <w:r w:rsidRPr="00292037">
        <w:rPr>
          <w:lang w:val="en-ID" w:eastAsia="en-ID"/>
        </w:rPr>
        <w:t>producing alkaline metabolites</w:t>
      </w:r>
      <w:r w:rsidR="00DC472C" w:rsidRPr="00292037">
        <w:rPr>
          <w:lang w:val="en-ID" w:eastAsia="en-ID"/>
        </w:rPr>
        <w:t xml:space="preserve"> (</w:t>
      </w:r>
      <w:proofErr w:type="spellStart"/>
      <w:r w:rsidR="00DC472C" w:rsidRPr="00292037">
        <w:rPr>
          <w:lang w:val="en-ID" w:eastAsia="en-ID"/>
        </w:rPr>
        <w:t>Villeger</w:t>
      </w:r>
      <w:proofErr w:type="spellEnd"/>
      <w:r w:rsidR="00DC472C" w:rsidRPr="00292037">
        <w:rPr>
          <w:lang w:val="en-ID" w:eastAsia="en-ID"/>
        </w:rPr>
        <w:t xml:space="preserve"> et al., 2017)</w:t>
      </w:r>
      <w:r w:rsidRPr="00292037">
        <w:rPr>
          <w:lang w:val="en-ID" w:eastAsia="en-ID"/>
        </w:rPr>
        <w:t>. Treatments without molasses (A1B1–A1B3) showed limited fermentation, with pH above 5.5, due to insufficient fermentable carbon (</w:t>
      </w:r>
      <w:r w:rsidR="00021EB7" w:rsidRPr="00292037">
        <w:rPr>
          <w:lang w:val="en-ID" w:eastAsia="en-ID"/>
        </w:rPr>
        <w:t>Muhammad</w:t>
      </w:r>
      <w:r w:rsidRPr="00292037">
        <w:rPr>
          <w:lang w:val="en-ID" w:eastAsia="en-ID"/>
        </w:rPr>
        <w:t xml:space="preserve"> et al., 2021). Thus, the A2B2 condition achieved the best balance between nutrient availability and microbial activity, producing an acidic environment (pH</w:t>
      </w:r>
      <w:r w:rsidR="00C8085C" w:rsidRPr="00292037">
        <w:rPr>
          <w:lang w:val="en-ID" w:eastAsia="en-ID"/>
        </w:rPr>
        <w:t>&lt;</w:t>
      </w:r>
      <w:r w:rsidRPr="00292037">
        <w:rPr>
          <w:lang w:val="en-ID" w:eastAsia="en-ID"/>
        </w:rPr>
        <w:t xml:space="preserve">4.0) </w:t>
      </w:r>
      <w:proofErr w:type="spellStart"/>
      <w:r w:rsidRPr="00292037">
        <w:rPr>
          <w:lang w:val="en-ID" w:eastAsia="en-ID"/>
        </w:rPr>
        <w:t>favorable</w:t>
      </w:r>
      <w:proofErr w:type="spellEnd"/>
      <w:r w:rsidRPr="00292037">
        <w:rPr>
          <w:lang w:val="en-ID" w:eastAsia="en-ID"/>
        </w:rPr>
        <w:t xml:space="preserve"> for product stability and inhibition of contaminants (</w:t>
      </w:r>
      <w:r w:rsidR="00021EB7" w:rsidRPr="00292037">
        <w:rPr>
          <w:lang w:val="en-ID" w:eastAsia="en-ID"/>
        </w:rPr>
        <w:t>Okoye</w:t>
      </w:r>
      <w:r w:rsidRPr="00292037">
        <w:rPr>
          <w:lang w:val="en-ID" w:eastAsia="en-ID"/>
        </w:rPr>
        <w:t xml:space="preserve"> et al., 202</w:t>
      </w:r>
      <w:r w:rsidR="00021EB7" w:rsidRPr="00292037">
        <w:rPr>
          <w:lang w:val="en-ID" w:eastAsia="en-ID"/>
        </w:rPr>
        <w:t>5).</w:t>
      </w:r>
    </w:p>
    <w:p w14:paraId="1F66FCC1" w14:textId="1B364629" w:rsidR="00EB474A" w:rsidRPr="00292037" w:rsidRDefault="00EB474A" w:rsidP="00041069">
      <w:pPr>
        <w:pStyle w:val="NormalWeb"/>
        <w:spacing w:before="0" w:beforeAutospacing="0" w:after="0" w:afterAutospacing="0" w:line="360" w:lineRule="auto"/>
        <w:ind w:firstLine="720"/>
        <w:jc w:val="both"/>
        <w:rPr>
          <w:lang w:val="en-ID" w:eastAsia="en-ID"/>
        </w:rPr>
      </w:pPr>
      <w:r w:rsidRPr="00292037">
        <w:rPr>
          <w:lang w:val="en-ID" w:eastAsia="en-ID"/>
        </w:rPr>
        <w:t>Total Titratable Acidity (TTA) further confirmed this pattern. The A2B3 treatment (50% molasses, 15 days) achieved the highest TTA, indicating maximal organic acid production and sustained LAB activity. Higher molasses levels increased available simple sugars, enhancing lactic acid accumulation via glycolysis (</w:t>
      </w:r>
      <w:r w:rsidR="00021EB7" w:rsidRPr="00292037">
        <w:rPr>
          <w:lang w:val="en-ID" w:eastAsia="en-ID"/>
        </w:rPr>
        <w:t>Oliveira et al.</w:t>
      </w:r>
      <w:r w:rsidRPr="00292037">
        <w:rPr>
          <w:lang w:val="en-ID" w:eastAsia="en-ID"/>
        </w:rPr>
        <w:t>, 20</w:t>
      </w:r>
      <w:r w:rsidR="00021EB7" w:rsidRPr="00292037">
        <w:rPr>
          <w:lang w:val="en-ID" w:eastAsia="en-ID"/>
        </w:rPr>
        <w:t>16</w:t>
      </w:r>
      <w:r w:rsidRPr="00292037">
        <w:rPr>
          <w:lang w:val="en-ID" w:eastAsia="en-ID"/>
        </w:rPr>
        <w:t xml:space="preserve">; </w:t>
      </w:r>
      <w:r w:rsidR="00021EB7" w:rsidRPr="00292037">
        <w:rPr>
          <w:lang w:val="en-ID" w:eastAsia="en-ID"/>
        </w:rPr>
        <w:t>Gupta</w:t>
      </w:r>
      <w:r w:rsidRPr="00292037">
        <w:rPr>
          <w:lang w:val="en-ID" w:eastAsia="en-ID"/>
        </w:rPr>
        <w:t xml:space="preserve"> et al., 202</w:t>
      </w:r>
      <w:r w:rsidR="00021EB7" w:rsidRPr="00292037">
        <w:rPr>
          <w:lang w:val="en-ID" w:eastAsia="en-ID"/>
        </w:rPr>
        <w:t>3</w:t>
      </w:r>
      <w:r w:rsidRPr="00292037">
        <w:rPr>
          <w:lang w:val="en-ID" w:eastAsia="en-ID"/>
        </w:rPr>
        <w:t>). Extended incubation also supported continued acid synthesis until microbial activity was suppressed by acidity accumulation.</w:t>
      </w:r>
      <w:r w:rsidR="00041069" w:rsidRPr="00292037">
        <w:rPr>
          <w:lang w:val="en-ID" w:eastAsia="en-ID"/>
        </w:rPr>
        <w:t xml:space="preserve"> </w:t>
      </w:r>
      <w:r w:rsidRPr="00292037">
        <w:rPr>
          <w:lang w:val="en-ID" w:eastAsia="en-ID"/>
        </w:rPr>
        <w:t>Treatments lacking molasses exhibited the lowest TTA (0.71–0.81%), confirming weak fermentation and minimal organic acid formation. A strong inverse correlation between pH and TT</w:t>
      </w:r>
      <w:r w:rsidR="008D1E8C" w:rsidRPr="00292037">
        <w:rPr>
          <w:lang w:val="en-ID" w:eastAsia="en-ID"/>
        </w:rPr>
        <w:t xml:space="preserve">A </w:t>
      </w:r>
      <w:r w:rsidRPr="00292037">
        <w:rPr>
          <w:lang w:val="en-ID" w:eastAsia="en-ID"/>
        </w:rPr>
        <w:t>observed in A2B3 and A3B2</w:t>
      </w:r>
      <w:r w:rsidR="008D1E8C" w:rsidRPr="00292037">
        <w:rPr>
          <w:lang w:val="en-ID" w:eastAsia="en-ID"/>
        </w:rPr>
        <w:t xml:space="preserve"> </w:t>
      </w:r>
      <w:r w:rsidRPr="00292037">
        <w:rPr>
          <w:lang w:val="en-ID" w:eastAsia="en-ID"/>
        </w:rPr>
        <w:t>indicates that lactic acid accumulation directly drove pH reduction, a hallmark of successful probiotic fermentation</w:t>
      </w:r>
      <w:r w:rsidR="008D1E8C" w:rsidRPr="00292037">
        <w:rPr>
          <w:lang w:val="en-ID" w:eastAsia="en-ID"/>
        </w:rPr>
        <w:t>.</w:t>
      </w:r>
      <w:r w:rsidR="00041069" w:rsidRPr="00292037">
        <w:rPr>
          <w:lang w:val="en-ID" w:eastAsia="en-ID"/>
        </w:rPr>
        <w:t xml:space="preserve"> </w:t>
      </w:r>
      <w:r w:rsidRPr="00292037">
        <w:rPr>
          <w:lang w:val="en-ID" w:eastAsia="en-ID"/>
        </w:rPr>
        <w:t xml:space="preserve">Overall, the A2B2 and A2B3 combinations demonstrated the most effective fermentation conditions for </w:t>
      </w:r>
      <w:proofErr w:type="spellStart"/>
      <w:r w:rsidRPr="00292037">
        <w:rPr>
          <w:i/>
          <w:iCs/>
          <w:lang w:val="en-ID" w:eastAsia="en-ID"/>
        </w:rPr>
        <w:t>Hermetia</w:t>
      </w:r>
      <w:proofErr w:type="spellEnd"/>
      <w:r w:rsidRPr="00292037">
        <w:rPr>
          <w:i/>
          <w:iCs/>
          <w:lang w:val="en-ID" w:eastAsia="en-ID"/>
        </w:rPr>
        <w:t xml:space="preserve"> </w:t>
      </w:r>
      <w:proofErr w:type="spellStart"/>
      <w:r w:rsidRPr="00292037">
        <w:rPr>
          <w:i/>
          <w:iCs/>
          <w:lang w:val="en-ID" w:eastAsia="en-ID"/>
        </w:rPr>
        <w:t>illucens</w:t>
      </w:r>
      <w:proofErr w:type="spellEnd"/>
      <w:r w:rsidRPr="00292037">
        <w:rPr>
          <w:lang w:val="en-ID" w:eastAsia="en-ID"/>
        </w:rPr>
        <w:t xml:space="preserve"> larval probiotics. The 50% molasses </w:t>
      </w:r>
      <w:r w:rsidRPr="00292037">
        <w:rPr>
          <w:lang w:val="en-ID" w:eastAsia="en-ID"/>
        </w:rPr>
        <w:lastRenderedPageBreak/>
        <w:t>concentration provided adequate substrate without causing osmotic inhibition, while a 10–</w:t>
      </w:r>
      <w:proofErr w:type="gramStart"/>
      <w:r w:rsidRPr="00292037">
        <w:rPr>
          <w:lang w:val="en-ID" w:eastAsia="en-ID"/>
        </w:rPr>
        <w:t>15 day</w:t>
      </w:r>
      <w:proofErr w:type="gramEnd"/>
      <w:r w:rsidRPr="00292037">
        <w:rPr>
          <w:lang w:val="en-ID" w:eastAsia="en-ID"/>
        </w:rPr>
        <w:t xml:space="preserve"> incubation period enabled stable acidification and high microbial activity. These findings confirm that optimizing carbon source and fermentation duration is crucial for achieving efficient fermentation, maximal acid production, and improved probiotic quality.</w:t>
      </w:r>
    </w:p>
    <w:p w14:paraId="773E1739" w14:textId="48219034" w:rsidR="00DE63F8" w:rsidRPr="00292037" w:rsidRDefault="00DE63F8" w:rsidP="00292037">
      <w:pPr>
        <w:pStyle w:val="NormalWeb"/>
        <w:spacing w:before="0" w:beforeAutospacing="0" w:after="0" w:afterAutospacing="0" w:line="360" w:lineRule="auto"/>
        <w:jc w:val="both"/>
        <w:rPr>
          <w:b/>
          <w:bCs/>
        </w:rPr>
      </w:pPr>
      <w:r w:rsidRPr="00292037">
        <w:rPr>
          <w:b/>
          <w:bCs/>
        </w:rPr>
        <w:t>Effect of Treatments on Total Lactic Acid Bacteria</w:t>
      </w:r>
      <w:r w:rsidRPr="00292037">
        <w:rPr>
          <w:b/>
          <w:bCs/>
          <w:lang w:val="en-US"/>
        </w:rPr>
        <w:t xml:space="preserve">, </w:t>
      </w:r>
      <w:r w:rsidRPr="00292037">
        <w:rPr>
          <w:b/>
          <w:bCs/>
        </w:rPr>
        <w:t>Actinomycetes</w:t>
      </w:r>
      <w:r w:rsidRPr="00292037">
        <w:rPr>
          <w:b/>
          <w:bCs/>
          <w:lang w:val="en-US"/>
        </w:rPr>
        <w:t xml:space="preserve">, </w:t>
      </w:r>
      <w:r w:rsidRPr="00292037">
        <w:rPr>
          <w:rStyle w:val="Emphasis"/>
          <w:b/>
          <w:bCs/>
        </w:rPr>
        <w:t>Bacillus</w:t>
      </w:r>
      <w:r w:rsidRPr="00292037">
        <w:rPr>
          <w:b/>
          <w:bCs/>
        </w:rPr>
        <w:t xml:space="preserve"> sp. and Yeast</w:t>
      </w:r>
    </w:p>
    <w:p w14:paraId="15E77713" w14:textId="74344AB8" w:rsidR="00DE63F8" w:rsidRPr="00292037" w:rsidRDefault="00DE63F8" w:rsidP="00DE63F8">
      <w:pPr>
        <w:pStyle w:val="NormalWeb"/>
        <w:spacing w:before="0" w:beforeAutospacing="0" w:after="0" w:afterAutospacing="0" w:line="360" w:lineRule="auto"/>
        <w:ind w:firstLine="720"/>
        <w:jc w:val="both"/>
        <w:rPr>
          <w:lang w:eastAsia="en-ID"/>
        </w:rPr>
      </w:pPr>
      <w:r w:rsidRPr="00292037">
        <w:rPr>
          <w:lang w:eastAsia="en-ID"/>
        </w:rPr>
        <w:t>The increase in the total population of lactic acid bacteria (LAB) indicates the effectiveness of the probiotic fermentation process, as LAB play a major role in organic acid production and pH reduction of the substrate. The treatment A3B2 (100% molasses, 10 days) produced the highest LAB population, demonstrating that the combination of high availability of simple carbon sources and moderate incubation time created optimal conditions for LAB growth. Molasses is rich in sucrose, glucose, and fructose, which serve as primary fermentable substrates (</w:t>
      </w:r>
      <w:r w:rsidR="00AF440D" w:rsidRPr="00292037">
        <w:rPr>
          <w:lang w:val="en-US" w:eastAsia="en-ID"/>
        </w:rPr>
        <w:t xml:space="preserve">El Asri </w:t>
      </w:r>
      <w:r w:rsidR="006131D6">
        <w:rPr>
          <w:lang w:val="en-US" w:eastAsia="en-ID"/>
        </w:rPr>
        <w:t>&amp;</w:t>
      </w:r>
      <w:r w:rsidR="00AF440D" w:rsidRPr="00292037">
        <w:rPr>
          <w:lang w:val="en-US" w:eastAsia="en-ID"/>
        </w:rPr>
        <w:t xml:space="preserve"> </w:t>
      </w:r>
      <w:proofErr w:type="spellStart"/>
      <w:r w:rsidR="00780324">
        <w:rPr>
          <w:lang w:val="en-US" w:eastAsia="en-ID"/>
        </w:rPr>
        <w:t>F</w:t>
      </w:r>
      <w:r w:rsidR="00AF440D" w:rsidRPr="00292037">
        <w:rPr>
          <w:lang w:val="en-US" w:eastAsia="en-ID"/>
        </w:rPr>
        <w:t>araq</w:t>
      </w:r>
      <w:proofErr w:type="spellEnd"/>
      <w:r w:rsidRPr="00292037">
        <w:rPr>
          <w:lang w:eastAsia="en-ID"/>
        </w:rPr>
        <w:t>, 202</w:t>
      </w:r>
      <w:r w:rsidR="00AF440D" w:rsidRPr="00292037">
        <w:rPr>
          <w:lang w:val="en-US" w:eastAsia="en-ID"/>
        </w:rPr>
        <w:t>3</w:t>
      </w:r>
      <w:r w:rsidRPr="00292037">
        <w:rPr>
          <w:lang w:eastAsia="en-ID"/>
        </w:rPr>
        <w:t xml:space="preserve">). During the mid-fermentation phase (days 5–10), LAB enter the exponential growth phase, </w:t>
      </w:r>
      <w:r w:rsidR="006131D6">
        <w:rPr>
          <w:lang w:eastAsia="en-ID"/>
        </w:rPr>
        <w:t xml:space="preserve">during which sugar is converted into lactic acid </w:t>
      </w:r>
      <w:r w:rsidRPr="00292037">
        <w:rPr>
          <w:lang w:eastAsia="en-ID"/>
        </w:rPr>
        <w:t xml:space="preserve">via the homofermentative pathway </w:t>
      </w:r>
      <w:r w:rsidR="00AF440D" w:rsidRPr="00292037">
        <w:rPr>
          <w:lang w:val="en-US" w:eastAsia="en-ID"/>
        </w:rPr>
        <w:t>(Vera</w:t>
      </w:r>
      <w:r w:rsidRPr="00292037">
        <w:rPr>
          <w:lang w:eastAsia="en-ID"/>
        </w:rPr>
        <w:t xml:space="preserve"> et al., 2022). The positive correlation between high LAB counts, total titratable acidity (TTA), and low pH values reflects the dominance of LAB metabolic activity in fermentation dynamics. The A3B2 treatment, which exhibited high TTA (3.37%) and low pH (3.92), reinforces the biological link between lactic acid production and LAB abundance (</w:t>
      </w:r>
      <w:r w:rsidR="006131D6" w:rsidRPr="00292037">
        <w:rPr>
          <w:lang w:eastAsia="en-ID"/>
        </w:rPr>
        <w:t>P</w:t>
      </w:r>
      <w:proofErr w:type="spellStart"/>
      <w:r w:rsidR="006131D6" w:rsidRPr="00292037">
        <w:rPr>
          <w:lang w:val="en-US" w:eastAsia="en-ID"/>
        </w:rPr>
        <w:t>eralta</w:t>
      </w:r>
      <w:proofErr w:type="spellEnd"/>
      <w:r w:rsidR="006131D6" w:rsidRPr="00292037">
        <w:rPr>
          <w:lang w:eastAsia="en-ID"/>
        </w:rPr>
        <w:t xml:space="preserve"> et al., 2021</w:t>
      </w:r>
      <w:r w:rsidR="006131D6">
        <w:rPr>
          <w:lang w:eastAsia="en-ID"/>
        </w:rPr>
        <w:t xml:space="preserve">; </w:t>
      </w:r>
      <w:r w:rsidR="00AF440D" w:rsidRPr="00292037">
        <w:rPr>
          <w:lang w:val="en-US" w:eastAsia="en-ID"/>
        </w:rPr>
        <w:t>Dudek</w:t>
      </w:r>
      <w:r w:rsidRPr="00292037">
        <w:rPr>
          <w:lang w:eastAsia="en-ID"/>
        </w:rPr>
        <w:t xml:space="preserve"> et al., 202</w:t>
      </w:r>
      <w:r w:rsidR="00AF440D" w:rsidRPr="00292037">
        <w:rPr>
          <w:lang w:val="en-US" w:eastAsia="en-ID"/>
        </w:rPr>
        <w:t>4</w:t>
      </w:r>
      <w:r w:rsidRPr="00292037">
        <w:rPr>
          <w:lang w:eastAsia="en-ID"/>
        </w:rPr>
        <w:t>).</w:t>
      </w:r>
      <w:r w:rsidRPr="00292037">
        <w:rPr>
          <w:lang w:val="en-US" w:eastAsia="en-ID"/>
        </w:rPr>
        <w:t xml:space="preserve"> </w:t>
      </w:r>
      <w:r w:rsidRPr="00292037">
        <w:rPr>
          <w:lang w:eastAsia="en-ID"/>
        </w:rPr>
        <w:t>However, in treatment A3B3 (100% molasses, 15 days), LAB populations decreased (10.70</w:t>
      </w:r>
      <w:r w:rsidR="00C8085C" w:rsidRPr="00292037">
        <w:rPr>
          <w:lang w:eastAsia="en-ID"/>
        </w:rPr>
        <w:t>×</w:t>
      </w:r>
      <w:r w:rsidRPr="00292037">
        <w:rPr>
          <w:lang w:eastAsia="en-ID"/>
        </w:rPr>
        <w:t>10⁷ CFU/mL), which can be attributed to the accumulation of organic acids that create self-inhibition and osmotic stress due to the high sugar concentration (H</w:t>
      </w:r>
      <w:r w:rsidR="009A6D21" w:rsidRPr="00292037">
        <w:rPr>
          <w:lang w:val="en-US" w:eastAsia="en-ID"/>
        </w:rPr>
        <w:t>uang</w:t>
      </w:r>
      <w:r w:rsidRPr="00292037">
        <w:rPr>
          <w:lang w:eastAsia="en-ID"/>
        </w:rPr>
        <w:t xml:space="preserve"> et al., 202</w:t>
      </w:r>
      <w:r w:rsidR="009A6D21" w:rsidRPr="00292037">
        <w:rPr>
          <w:lang w:val="en-US" w:eastAsia="en-ID"/>
        </w:rPr>
        <w:t>1</w:t>
      </w:r>
      <w:r w:rsidRPr="00292037">
        <w:rPr>
          <w:lang w:eastAsia="en-ID"/>
        </w:rPr>
        <w:t>). In contrast, treatments without molasses (A1B1–A1B3) resulted in low LAB populations due to limited energy sources, as BSF larvae primarily contain complex carbohydrates and chitin that are difficult for LAB to degrade (</w:t>
      </w:r>
      <w:r w:rsidR="006E1760" w:rsidRPr="00292037">
        <w:rPr>
          <w:lang w:val="en-US" w:eastAsia="en-ID"/>
        </w:rPr>
        <w:t xml:space="preserve">Aminuddin </w:t>
      </w:r>
      <w:r w:rsidRPr="00292037">
        <w:rPr>
          <w:lang w:eastAsia="en-ID"/>
        </w:rPr>
        <w:t>et al., 202</w:t>
      </w:r>
      <w:r w:rsidR="006E1760" w:rsidRPr="00292037">
        <w:rPr>
          <w:lang w:val="en-US" w:eastAsia="en-ID"/>
        </w:rPr>
        <w:t xml:space="preserve">3; </w:t>
      </w:r>
      <w:proofErr w:type="spellStart"/>
      <w:r w:rsidR="006E1760" w:rsidRPr="00292037">
        <w:rPr>
          <w:lang w:val="en-US" w:eastAsia="en-ID"/>
        </w:rPr>
        <w:t>Pedrazzani</w:t>
      </w:r>
      <w:proofErr w:type="spellEnd"/>
      <w:r w:rsidR="006E1760" w:rsidRPr="00292037">
        <w:rPr>
          <w:lang w:val="en-US" w:eastAsia="en-ID"/>
        </w:rPr>
        <w:t xml:space="preserve"> et al., 2023</w:t>
      </w:r>
      <w:r w:rsidRPr="00292037">
        <w:rPr>
          <w:lang w:eastAsia="en-ID"/>
        </w:rPr>
        <w:t>). Temporally, the 10-day fermentation (B2) represents the optimal phase for LAB before entering the stationary and decline phases caused by acid accumulation and nutrient depletion. The A3B2 combination reflects a balance between nutrient availability and moderately acidic conditions, yielding a maximal and stable LAB profile.</w:t>
      </w:r>
    </w:p>
    <w:p w14:paraId="533DD5C0" w14:textId="27DB6918" w:rsidR="00DE63F8" w:rsidRPr="00292037" w:rsidRDefault="00DE63F8" w:rsidP="00DE63F8">
      <w:pPr>
        <w:pStyle w:val="NormalWeb"/>
        <w:spacing w:before="0" w:beforeAutospacing="0" w:after="0" w:afterAutospacing="0" w:line="360" w:lineRule="auto"/>
        <w:ind w:firstLine="720"/>
        <w:jc w:val="both"/>
        <w:rPr>
          <w:lang w:val="en-US" w:eastAsia="en-ID"/>
        </w:rPr>
      </w:pPr>
      <w:r w:rsidRPr="00292037">
        <w:rPr>
          <w:lang w:eastAsia="en-ID"/>
        </w:rPr>
        <w:t>Consistent with the LAB dynamics, the total Actinomycetes population also showed an optimum pattern in treatment A2B2 (50% molasses, 10 days). This microbial group plays a key role in producing secondary metabolites such as enzymes, natural antibiotics, and antimicrobial compounds that enhance probiotic stability (El-Tarabily &amp; Sivasithamparam, 2021). The fermentation conditions in A2B2 (pH 3.9–4.0; TTA 3.37–3.74%) supported Actinomycetes growth, as moderately acidic environments remain suitable for their activity</w:t>
      </w:r>
      <w:r w:rsidR="006E1760" w:rsidRPr="00292037">
        <w:rPr>
          <w:lang w:val="en-US" w:eastAsia="en-ID"/>
        </w:rPr>
        <w:t xml:space="preserve">. </w:t>
      </w:r>
      <w:r w:rsidRPr="00292037">
        <w:rPr>
          <w:lang w:eastAsia="en-ID"/>
        </w:rPr>
        <w:t xml:space="preserve">In </w:t>
      </w:r>
      <w:r w:rsidRPr="00292037">
        <w:rPr>
          <w:lang w:eastAsia="en-ID"/>
        </w:rPr>
        <w:lastRenderedPageBreak/>
        <w:t>contrast, the treatment with 100% molasses and prolonged incubation (A3B3) reduced their population due to osmotic stress and excessive acidity (M</w:t>
      </w:r>
      <w:r w:rsidR="006E1760" w:rsidRPr="00292037">
        <w:rPr>
          <w:lang w:val="en-US" w:eastAsia="en-ID"/>
        </w:rPr>
        <w:t>o</w:t>
      </w:r>
      <w:r w:rsidRPr="00292037">
        <w:rPr>
          <w:lang w:eastAsia="en-ID"/>
        </w:rPr>
        <w:t>khtar et al., 202</w:t>
      </w:r>
      <w:r w:rsidR="006E1760" w:rsidRPr="00292037">
        <w:rPr>
          <w:lang w:val="en-US" w:eastAsia="en-ID"/>
        </w:rPr>
        <w:t>4</w:t>
      </w:r>
      <w:r w:rsidRPr="00292037">
        <w:rPr>
          <w:lang w:eastAsia="en-ID"/>
        </w:rPr>
        <w:t>). Similar findings were reported by</w:t>
      </w:r>
      <w:r w:rsidR="00F2537E" w:rsidRPr="00292037">
        <w:rPr>
          <w:lang w:val="en-US" w:eastAsia="en-ID"/>
        </w:rPr>
        <w:t xml:space="preserve"> Bhattacharjee</w:t>
      </w:r>
      <w:r w:rsidRPr="00292037">
        <w:rPr>
          <w:lang w:eastAsia="en-ID"/>
        </w:rPr>
        <w:t xml:space="preserve"> et al. (20</w:t>
      </w:r>
      <w:r w:rsidR="00F2537E" w:rsidRPr="00292037">
        <w:rPr>
          <w:lang w:val="en-US" w:eastAsia="en-ID"/>
        </w:rPr>
        <w:t>18</w:t>
      </w:r>
      <w:r w:rsidRPr="00292037">
        <w:rPr>
          <w:lang w:eastAsia="en-ID"/>
        </w:rPr>
        <w:t>), who observed that excessive sugar levels and acid accumulation inhibit Actinomycetes hyphal differentiation. The microbial balance observed in A2B2 and A3B2 indicates a mutualistic interaction between LAB and Actinomycetes. LAB produce lactic acid that stabilizes the microbial ecosystem, while Actinomycetes synthesize bioactive metabolites that suppress pathogens and support microbial balance (</w:t>
      </w:r>
      <w:r w:rsidR="00F2537E" w:rsidRPr="00292037">
        <w:rPr>
          <w:lang w:val="en-US" w:eastAsia="en-ID"/>
        </w:rPr>
        <w:t>Tang</w:t>
      </w:r>
      <w:r w:rsidRPr="00292037">
        <w:rPr>
          <w:lang w:eastAsia="en-ID"/>
        </w:rPr>
        <w:t xml:space="preserve"> et al., 202</w:t>
      </w:r>
      <w:r w:rsidR="00F2537E" w:rsidRPr="00292037">
        <w:rPr>
          <w:lang w:val="en-US" w:eastAsia="en-ID"/>
        </w:rPr>
        <w:t>3</w:t>
      </w:r>
      <w:r w:rsidRPr="00292037">
        <w:rPr>
          <w:lang w:eastAsia="en-ID"/>
        </w:rPr>
        <w:t xml:space="preserve">; </w:t>
      </w:r>
      <w:r w:rsidR="00F2537E" w:rsidRPr="00292037">
        <w:rPr>
          <w:lang w:val="en-US" w:eastAsia="en-ID"/>
        </w:rPr>
        <w:t>Mebrat</w:t>
      </w:r>
      <w:r w:rsidRPr="00292037">
        <w:rPr>
          <w:lang w:eastAsia="en-ID"/>
        </w:rPr>
        <w:t>, 202</w:t>
      </w:r>
      <w:r w:rsidR="00F2537E" w:rsidRPr="00292037">
        <w:rPr>
          <w:lang w:val="en-US" w:eastAsia="en-ID"/>
        </w:rPr>
        <w:t>4; Okoye et al., 2025</w:t>
      </w:r>
      <w:r w:rsidRPr="00292037">
        <w:rPr>
          <w:lang w:eastAsia="en-ID"/>
        </w:rPr>
        <w:t xml:space="preserve">). Treatments without molasses (A1B1–A1B3) exhibited weak Actinomycetes growth due to limited carbon availability, consistent with the findings of </w:t>
      </w:r>
      <w:r w:rsidR="00F2537E" w:rsidRPr="00292037">
        <w:rPr>
          <w:lang w:val="en-US" w:eastAsia="en-ID"/>
        </w:rPr>
        <w:t>Shikuku</w:t>
      </w:r>
      <w:r w:rsidRPr="00292037">
        <w:rPr>
          <w:lang w:eastAsia="en-ID"/>
        </w:rPr>
        <w:t xml:space="preserve"> et al. (20</w:t>
      </w:r>
      <w:r w:rsidR="00F2537E" w:rsidRPr="00292037">
        <w:rPr>
          <w:lang w:val="en-US" w:eastAsia="en-ID"/>
        </w:rPr>
        <w:t>23</w:t>
      </w:r>
      <w:r w:rsidRPr="00292037">
        <w:rPr>
          <w:lang w:eastAsia="en-ID"/>
        </w:rPr>
        <w:t>). This pattern confirms that fermentation using 50% molasses for 10 days creates a stable and synergistic microbial system</w:t>
      </w:r>
      <w:r w:rsidR="00F2537E" w:rsidRPr="00292037">
        <w:rPr>
          <w:lang w:val="en-US" w:eastAsia="en-ID"/>
        </w:rPr>
        <w:t xml:space="preserve">. </w:t>
      </w:r>
    </w:p>
    <w:p w14:paraId="254609F6" w14:textId="7D42F6E6" w:rsidR="00DE63F8" w:rsidRPr="00292037" w:rsidRDefault="00DE63F8" w:rsidP="00DE63F8">
      <w:pPr>
        <w:pStyle w:val="NormalWeb"/>
        <w:spacing w:before="0" w:beforeAutospacing="0" w:after="0" w:afterAutospacing="0" w:line="360" w:lineRule="auto"/>
        <w:ind w:firstLine="720"/>
        <w:jc w:val="both"/>
        <w:rPr>
          <w:lang w:val="en-US" w:eastAsia="en-ID"/>
        </w:rPr>
      </w:pPr>
      <w:r w:rsidRPr="00292037">
        <w:rPr>
          <w:lang w:eastAsia="en-ID"/>
        </w:rPr>
        <w:t xml:space="preserve">Microbial dynamics consistency was also evident in </w:t>
      </w:r>
      <w:r w:rsidRPr="00292037">
        <w:rPr>
          <w:i/>
          <w:iCs/>
          <w:lang w:eastAsia="en-ID"/>
        </w:rPr>
        <w:t>Bacillus sp.</w:t>
      </w:r>
      <w:r w:rsidRPr="00292037">
        <w:rPr>
          <w:lang w:eastAsia="en-ID"/>
        </w:rPr>
        <w:t xml:space="preserve"> populations. The A2B2 treatment yielded the highest </w:t>
      </w:r>
      <w:r w:rsidRPr="00292037">
        <w:rPr>
          <w:i/>
          <w:iCs/>
          <w:lang w:eastAsia="en-ID"/>
        </w:rPr>
        <w:t>Bacillus</w:t>
      </w:r>
      <w:r w:rsidRPr="00292037">
        <w:rPr>
          <w:lang w:eastAsia="en-ID"/>
        </w:rPr>
        <w:t xml:space="preserve"> count (2.83</w:t>
      </w:r>
      <w:r w:rsidR="00C8085C" w:rsidRPr="00292037">
        <w:rPr>
          <w:lang w:eastAsia="en-ID"/>
        </w:rPr>
        <w:t>×</w:t>
      </w:r>
      <w:r w:rsidR="00292037">
        <w:rPr>
          <w:lang w:eastAsia="en-ID"/>
        </w:rPr>
        <w:t>10⁷</w:t>
      </w:r>
      <w:r w:rsidRPr="00292037">
        <w:rPr>
          <w:lang w:eastAsia="en-ID"/>
        </w:rPr>
        <w:t xml:space="preserve">CFU/mL), indicating that 50% molasses and 10 days of fermentation provide optimal carbon availability and acidity balance for </w:t>
      </w:r>
      <w:r w:rsidRPr="00292037">
        <w:rPr>
          <w:i/>
          <w:iCs/>
          <w:lang w:eastAsia="en-ID"/>
        </w:rPr>
        <w:t>Bacillus</w:t>
      </w:r>
      <w:r w:rsidRPr="00292037">
        <w:rPr>
          <w:lang w:eastAsia="en-ID"/>
        </w:rPr>
        <w:t xml:space="preserve"> growth. </w:t>
      </w:r>
      <w:r w:rsidRPr="00292037">
        <w:rPr>
          <w:i/>
          <w:iCs/>
          <w:lang w:eastAsia="en-ID"/>
        </w:rPr>
        <w:t>Bacillus</w:t>
      </w:r>
      <w:r w:rsidRPr="00292037">
        <w:rPr>
          <w:lang w:eastAsia="en-ID"/>
        </w:rPr>
        <w:t xml:space="preserve"> species utilize simple sugars from molasses to produce organic acids and hydrolytic enzymes such as amylases and proteases </w:t>
      </w:r>
      <w:r w:rsidR="00114185" w:rsidRPr="00292037">
        <w:rPr>
          <w:lang w:val="en-US" w:eastAsia="en-ID"/>
        </w:rPr>
        <w:t>(Zhang</w:t>
      </w:r>
      <w:r w:rsidRPr="00292037">
        <w:rPr>
          <w:lang w:eastAsia="en-ID"/>
        </w:rPr>
        <w:t xml:space="preserve"> et al., 202</w:t>
      </w:r>
      <w:r w:rsidR="00114185" w:rsidRPr="00292037">
        <w:rPr>
          <w:lang w:val="en-US" w:eastAsia="en-ID"/>
        </w:rPr>
        <w:t>3; Li et al., 2023</w:t>
      </w:r>
      <w:r w:rsidRPr="00292037">
        <w:rPr>
          <w:lang w:eastAsia="en-ID"/>
        </w:rPr>
        <w:t>), contributing to the reduction of pH to 3.9–4.0, still within their optimal growth range</w:t>
      </w:r>
      <w:r w:rsidR="00207D5D" w:rsidRPr="00292037">
        <w:rPr>
          <w:lang w:val="en-US" w:eastAsia="en-ID"/>
        </w:rPr>
        <w:t>.</w:t>
      </w:r>
      <w:r w:rsidRPr="00292037">
        <w:rPr>
          <w:lang w:eastAsia="en-ID"/>
        </w:rPr>
        <w:t xml:space="preserve"> The observed correlation between </w:t>
      </w:r>
      <w:r w:rsidRPr="00292037">
        <w:rPr>
          <w:i/>
          <w:iCs/>
          <w:lang w:eastAsia="en-ID"/>
        </w:rPr>
        <w:t>Bacillus</w:t>
      </w:r>
      <w:r w:rsidR="00114185" w:rsidRPr="00292037">
        <w:rPr>
          <w:lang w:val="en-US" w:eastAsia="en-ID"/>
        </w:rPr>
        <w:t xml:space="preserve"> </w:t>
      </w:r>
      <w:r w:rsidR="00114185" w:rsidRPr="00292037">
        <w:rPr>
          <w:i/>
          <w:iCs/>
          <w:lang w:val="en-US" w:eastAsia="en-ID"/>
        </w:rPr>
        <w:t xml:space="preserve">sp. </w:t>
      </w:r>
      <w:r w:rsidRPr="00292037">
        <w:rPr>
          <w:lang w:eastAsia="en-ID"/>
        </w:rPr>
        <w:t>increase and higher TTA values suggests their role as secondary lactic acid producers (</w:t>
      </w:r>
      <w:r w:rsidR="00207D5D" w:rsidRPr="00292037">
        <w:rPr>
          <w:lang w:val="en-US" w:eastAsia="en-ID"/>
        </w:rPr>
        <w:t>Xia</w:t>
      </w:r>
      <w:r w:rsidRPr="00292037">
        <w:rPr>
          <w:lang w:eastAsia="en-ID"/>
        </w:rPr>
        <w:t xml:space="preserve"> et al., 202</w:t>
      </w:r>
      <w:r w:rsidR="00207D5D" w:rsidRPr="00292037">
        <w:rPr>
          <w:lang w:val="en-US" w:eastAsia="en-ID"/>
        </w:rPr>
        <w:t>4</w:t>
      </w:r>
      <w:r w:rsidRPr="00292037">
        <w:rPr>
          <w:lang w:eastAsia="en-ID"/>
        </w:rPr>
        <w:t xml:space="preserve">), supporting the microbiological equilibrium of the fermentation system. The population increase of </w:t>
      </w:r>
      <w:r w:rsidRPr="00292037">
        <w:rPr>
          <w:i/>
          <w:iCs/>
          <w:lang w:eastAsia="en-ID"/>
        </w:rPr>
        <w:t>Bacillus</w:t>
      </w:r>
      <w:r w:rsidRPr="00292037">
        <w:rPr>
          <w:lang w:eastAsia="en-ID"/>
        </w:rPr>
        <w:t xml:space="preserve"> due to molasses supplementation was also reported by </w:t>
      </w:r>
      <w:r w:rsidR="00207D5D" w:rsidRPr="00292037">
        <w:rPr>
          <w:lang w:val="en-US" w:eastAsia="en-ID"/>
        </w:rPr>
        <w:t xml:space="preserve">Holanda </w:t>
      </w:r>
      <w:r w:rsidRPr="00292037">
        <w:rPr>
          <w:lang w:eastAsia="en-ID"/>
        </w:rPr>
        <w:t>et al. (202</w:t>
      </w:r>
      <w:r w:rsidR="00207D5D" w:rsidRPr="00292037">
        <w:rPr>
          <w:lang w:val="en-US" w:eastAsia="en-ID"/>
        </w:rPr>
        <w:t>5</w:t>
      </w:r>
      <w:r w:rsidRPr="00292037">
        <w:rPr>
          <w:lang w:eastAsia="en-ID"/>
        </w:rPr>
        <w:t>), while the population decline after 15 days of fermentation indicates substrate depletion and acid accumulation that inhibit cell activity.</w:t>
      </w:r>
      <w:r w:rsidRPr="00292037">
        <w:rPr>
          <w:lang w:val="en-US" w:eastAsia="en-ID"/>
        </w:rPr>
        <w:t xml:space="preserve"> </w:t>
      </w:r>
    </w:p>
    <w:p w14:paraId="472147FC" w14:textId="0D6AAD43" w:rsidR="00DE63F8" w:rsidRPr="00292037" w:rsidRDefault="00DE63F8" w:rsidP="00292037">
      <w:pPr>
        <w:pStyle w:val="NormalWeb"/>
        <w:spacing w:before="0" w:beforeAutospacing="0" w:after="0" w:afterAutospacing="0" w:line="360" w:lineRule="auto"/>
        <w:ind w:firstLine="720"/>
        <w:jc w:val="both"/>
        <w:rPr>
          <w:lang w:val="en-US" w:eastAsia="en-ID"/>
        </w:rPr>
      </w:pPr>
      <w:r w:rsidRPr="00292037">
        <w:rPr>
          <w:lang w:eastAsia="en-ID"/>
        </w:rPr>
        <w:t>The final parameter, total yeast count, followed a similar pattern, with the highest value observed in treatment A2B2 (3.83</w:t>
      </w:r>
      <w:r w:rsidR="00C8085C" w:rsidRPr="00292037">
        <w:rPr>
          <w:lang w:eastAsia="en-ID"/>
        </w:rPr>
        <w:t>×</w:t>
      </w:r>
      <w:r w:rsidR="00292037">
        <w:rPr>
          <w:lang w:eastAsia="en-ID"/>
        </w:rPr>
        <w:t>10⁷</w:t>
      </w:r>
      <w:r w:rsidRPr="00292037">
        <w:rPr>
          <w:lang w:eastAsia="en-ID"/>
        </w:rPr>
        <w:t>CFU/mL). Molasses serves as a simple carbon source that supports anaerobic yeast fermentation, leading to the production of energy, ethanol, and organic acids (</w:t>
      </w:r>
      <w:r w:rsidR="00C8085C" w:rsidRPr="00292037">
        <w:rPr>
          <w:lang w:eastAsia="en-ID"/>
        </w:rPr>
        <w:t>A</w:t>
      </w:r>
      <w:r w:rsidR="00C8085C" w:rsidRPr="00292037">
        <w:rPr>
          <w:lang w:val="en-US" w:eastAsia="en-ID"/>
        </w:rPr>
        <w:t xml:space="preserve">li </w:t>
      </w:r>
      <w:r w:rsidR="00C8085C" w:rsidRPr="00292037">
        <w:rPr>
          <w:lang w:eastAsia="en-ID"/>
        </w:rPr>
        <w:t>et al., 202</w:t>
      </w:r>
      <w:r w:rsidR="00C8085C" w:rsidRPr="00292037">
        <w:rPr>
          <w:lang w:val="en-US" w:eastAsia="en-ID"/>
        </w:rPr>
        <w:t xml:space="preserve">3; </w:t>
      </w:r>
      <w:proofErr w:type="spellStart"/>
      <w:r w:rsidR="00207D5D" w:rsidRPr="00292037">
        <w:rPr>
          <w:lang w:val="en-US" w:eastAsia="en-ID"/>
        </w:rPr>
        <w:t>Kasmiarti</w:t>
      </w:r>
      <w:proofErr w:type="spellEnd"/>
      <w:r w:rsidR="00207D5D" w:rsidRPr="00292037">
        <w:rPr>
          <w:lang w:val="en-US" w:eastAsia="en-ID"/>
        </w:rPr>
        <w:t xml:space="preserve"> </w:t>
      </w:r>
      <w:r w:rsidRPr="00292037">
        <w:rPr>
          <w:lang w:eastAsia="en-ID"/>
        </w:rPr>
        <w:t>et al., 202</w:t>
      </w:r>
      <w:r w:rsidR="00207D5D" w:rsidRPr="00292037">
        <w:rPr>
          <w:lang w:val="en-US" w:eastAsia="en-ID"/>
        </w:rPr>
        <w:t>3</w:t>
      </w:r>
      <w:r w:rsidRPr="00292037">
        <w:rPr>
          <w:lang w:eastAsia="en-ID"/>
        </w:rPr>
        <w:t xml:space="preserve">). The acidic pH (3.91–4.01) still supports the growth of </w:t>
      </w:r>
      <w:r w:rsidRPr="00292037">
        <w:rPr>
          <w:i/>
          <w:iCs/>
          <w:lang w:eastAsia="en-ID"/>
        </w:rPr>
        <w:t>Saccharomyces cerevisiae</w:t>
      </w:r>
      <w:r w:rsidRPr="00292037">
        <w:rPr>
          <w:lang w:eastAsia="en-ID"/>
        </w:rPr>
        <w:t xml:space="preserve"> and </w:t>
      </w:r>
      <w:r w:rsidRPr="00292037">
        <w:rPr>
          <w:i/>
          <w:iCs/>
          <w:lang w:eastAsia="en-ID"/>
        </w:rPr>
        <w:t>Candida tropicalis</w:t>
      </w:r>
      <w:r w:rsidR="000C6CD0" w:rsidRPr="00292037">
        <w:rPr>
          <w:lang w:val="en-US" w:eastAsia="en-ID"/>
        </w:rPr>
        <w:t xml:space="preserve"> (yeast)</w:t>
      </w:r>
      <w:r w:rsidRPr="00292037">
        <w:rPr>
          <w:lang w:eastAsia="en-ID"/>
        </w:rPr>
        <w:t>. However, prolonged fermentation (15 days) reduced yeast populations due to the accumulation of ethanol and acetic acid, which are toxic to yeast cells (</w:t>
      </w:r>
      <w:r w:rsidR="00C33F02" w:rsidRPr="00292037">
        <w:rPr>
          <w:lang w:val="en-US" w:eastAsia="en-ID"/>
        </w:rPr>
        <w:t xml:space="preserve">de Carvalho </w:t>
      </w:r>
      <w:r w:rsidR="000C6CD0" w:rsidRPr="00292037">
        <w:rPr>
          <w:lang w:val="en-US" w:eastAsia="en-ID"/>
        </w:rPr>
        <w:t>et al., 2024</w:t>
      </w:r>
      <w:r w:rsidRPr="00292037">
        <w:rPr>
          <w:lang w:eastAsia="en-ID"/>
        </w:rPr>
        <w:t xml:space="preserve">). Interestingly, the increase in yeast at A2B2 coincided with higher LAB and </w:t>
      </w:r>
      <w:r w:rsidRPr="00292037">
        <w:rPr>
          <w:i/>
          <w:iCs/>
          <w:lang w:eastAsia="en-ID"/>
        </w:rPr>
        <w:t>Bacillus</w:t>
      </w:r>
      <w:r w:rsidRPr="00292037">
        <w:rPr>
          <w:lang w:eastAsia="en-ID"/>
        </w:rPr>
        <w:t xml:space="preserve"> counts, suggesting synergistic interactions</w:t>
      </w:r>
      <w:r w:rsidR="000C6CD0" w:rsidRPr="00292037">
        <w:rPr>
          <w:lang w:val="en-US" w:eastAsia="en-ID"/>
        </w:rPr>
        <w:t>,</w:t>
      </w:r>
      <w:r w:rsidRPr="00292037">
        <w:rPr>
          <w:lang w:eastAsia="en-ID"/>
        </w:rPr>
        <w:t xml:space="preserve"> </w:t>
      </w:r>
      <w:r w:rsidRPr="00292037">
        <w:rPr>
          <w:i/>
          <w:iCs/>
          <w:lang w:eastAsia="en-ID"/>
        </w:rPr>
        <w:t>Bacillus</w:t>
      </w:r>
      <w:r w:rsidRPr="00292037">
        <w:rPr>
          <w:lang w:eastAsia="en-ID"/>
        </w:rPr>
        <w:t xml:space="preserve"> produces amino acids and B vitamins that support yeast growth, while yeast produces ethanol and CO₂ that stimulate </w:t>
      </w:r>
      <w:r w:rsidRPr="00292037">
        <w:rPr>
          <w:i/>
          <w:iCs/>
          <w:lang w:eastAsia="en-ID"/>
        </w:rPr>
        <w:t>Bacillus</w:t>
      </w:r>
      <w:r w:rsidRPr="00292037">
        <w:rPr>
          <w:lang w:eastAsia="en-ID"/>
        </w:rPr>
        <w:t xml:space="preserve"> activity (</w:t>
      </w:r>
      <w:r w:rsidR="00932027" w:rsidRPr="00292037">
        <w:rPr>
          <w:lang w:val="en-US" w:eastAsia="en-ID"/>
        </w:rPr>
        <w:t xml:space="preserve">Li et al., 2023; </w:t>
      </w:r>
      <w:proofErr w:type="spellStart"/>
      <w:r w:rsidR="00DC649F" w:rsidRPr="00292037">
        <w:rPr>
          <w:lang w:val="en-US" w:eastAsia="en-ID"/>
        </w:rPr>
        <w:t>Sehen</w:t>
      </w:r>
      <w:proofErr w:type="spellEnd"/>
      <w:r w:rsidR="00DC649F" w:rsidRPr="00292037">
        <w:rPr>
          <w:lang w:val="en-US" w:eastAsia="en-ID"/>
        </w:rPr>
        <w:t xml:space="preserve"> </w:t>
      </w:r>
      <w:r w:rsidRPr="00292037">
        <w:rPr>
          <w:lang w:eastAsia="en-ID"/>
        </w:rPr>
        <w:t>et al., 202</w:t>
      </w:r>
      <w:r w:rsidR="00DC649F" w:rsidRPr="00292037">
        <w:rPr>
          <w:lang w:val="en-US" w:eastAsia="en-ID"/>
        </w:rPr>
        <w:t>3</w:t>
      </w:r>
      <w:r w:rsidRPr="00292037">
        <w:rPr>
          <w:lang w:eastAsia="en-ID"/>
        </w:rPr>
        <w:t>). This combination enhances total acidity and enriches bioactive metabolite content.</w:t>
      </w:r>
      <w:r w:rsidRPr="00292037">
        <w:rPr>
          <w:lang w:val="en-US" w:eastAsia="en-ID"/>
        </w:rPr>
        <w:t xml:space="preserve"> </w:t>
      </w:r>
      <w:r w:rsidRPr="00292037">
        <w:rPr>
          <w:lang w:eastAsia="en-ID"/>
        </w:rPr>
        <w:t xml:space="preserve">Overall, the </w:t>
      </w:r>
      <w:r w:rsidRPr="00292037">
        <w:rPr>
          <w:lang w:eastAsia="en-ID"/>
        </w:rPr>
        <w:lastRenderedPageBreak/>
        <w:t xml:space="preserve">A2B2 treatment (50% molasses, 10 days) established the most stable fermentation conditions, characterized by high populations of functional microbes (LAB, </w:t>
      </w:r>
      <w:r w:rsidRPr="00292037">
        <w:rPr>
          <w:i/>
          <w:iCs/>
          <w:lang w:eastAsia="en-ID"/>
        </w:rPr>
        <w:t>Bacillus</w:t>
      </w:r>
      <w:r w:rsidRPr="00292037">
        <w:rPr>
          <w:lang w:eastAsia="en-ID"/>
        </w:rPr>
        <w:t>, Actinomycetes, and yeast), low pH, and high TTA. This microbial synergy created a balanced fermentation ecosystem, enhanced enzymatic activity, and improved the physicochemical quality of BSF-based probiotics. These findings reinforce the potential of BSF larvae as an efficient and sustainable substrate for probiotic fermentation</w:t>
      </w:r>
      <w:r w:rsidR="00041069" w:rsidRPr="00292037">
        <w:rPr>
          <w:lang w:val="en-US" w:eastAsia="en-ID"/>
        </w:rPr>
        <w:t xml:space="preserve">. </w:t>
      </w:r>
    </w:p>
    <w:p w14:paraId="24F9411E" w14:textId="5BE31663" w:rsidR="00EB474A" w:rsidRPr="00292037" w:rsidRDefault="00EB474A" w:rsidP="00EB474A">
      <w:pPr>
        <w:pStyle w:val="NormalWeb"/>
        <w:spacing w:before="0" w:beforeAutospacing="0" w:after="0" w:afterAutospacing="0" w:line="360" w:lineRule="auto"/>
        <w:jc w:val="both"/>
        <w:rPr>
          <w:b/>
          <w:bCs/>
          <w:lang w:val="en-US" w:eastAsia="en-ID"/>
        </w:rPr>
      </w:pPr>
      <w:r w:rsidRPr="00292037">
        <w:rPr>
          <w:b/>
          <w:bCs/>
          <w:lang w:val="en-US" w:eastAsia="en-ID"/>
        </w:rPr>
        <w:t xml:space="preserve">Conclusion </w:t>
      </w:r>
    </w:p>
    <w:p w14:paraId="394495F1" w14:textId="4E1BBC02" w:rsidR="005D202B" w:rsidRPr="00292037" w:rsidRDefault="005D202B" w:rsidP="00EB474A">
      <w:pPr>
        <w:pStyle w:val="NormalWeb"/>
        <w:spacing w:before="0" w:beforeAutospacing="0" w:after="0" w:afterAutospacing="0" w:line="360" w:lineRule="auto"/>
        <w:jc w:val="both"/>
        <w:rPr>
          <w:lang w:val="en-US" w:eastAsia="en-ID"/>
        </w:rPr>
      </w:pPr>
      <w:r w:rsidRPr="00292037">
        <w:rPr>
          <w:b/>
          <w:bCs/>
          <w:lang w:val="en-US" w:eastAsia="en-ID"/>
        </w:rPr>
        <w:tab/>
      </w:r>
      <w:r w:rsidRPr="00292037">
        <w:rPr>
          <w:lang w:val="en-US" w:eastAsia="en-ID"/>
        </w:rPr>
        <w:t xml:space="preserve">The combination of 50% molasses </w:t>
      </w:r>
      <w:r w:rsidR="00B3009F" w:rsidRPr="00292037">
        <w:rPr>
          <w:lang w:val="en-US" w:eastAsia="en-ID"/>
        </w:rPr>
        <w:t xml:space="preserve">concentration and 10 days of incubation (A2B2) provided the most optimal fermentation conditions for the indigenous probiotics derived from </w:t>
      </w:r>
      <w:proofErr w:type="spellStart"/>
      <w:r w:rsidR="00B3009F" w:rsidRPr="00292037">
        <w:rPr>
          <w:i/>
          <w:iCs/>
          <w:lang w:val="en-US" w:eastAsia="en-ID"/>
        </w:rPr>
        <w:t>Hermetia</w:t>
      </w:r>
      <w:proofErr w:type="spellEnd"/>
      <w:r w:rsidR="00B3009F" w:rsidRPr="00292037">
        <w:rPr>
          <w:i/>
          <w:iCs/>
          <w:lang w:val="en-US" w:eastAsia="en-ID"/>
        </w:rPr>
        <w:t xml:space="preserve"> </w:t>
      </w:r>
      <w:proofErr w:type="spellStart"/>
      <w:r w:rsidR="00B3009F" w:rsidRPr="00292037">
        <w:rPr>
          <w:i/>
          <w:iCs/>
          <w:lang w:val="en-US" w:eastAsia="en-ID"/>
        </w:rPr>
        <w:t>illucens</w:t>
      </w:r>
      <w:proofErr w:type="spellEnd"/>
      <w:r w:rsidR="00B3009F" w:rsidRPr="00292037">
        <w:rPr>
          <w:lang w:val="en-US" w:eastAsia="en-ID"/>
        </w:rPr>
        <w:t xml:space="preserve"> larvae. This treatment was characterized by a low pH value of 3.91, a high total titratable acidity (TTA) of 2.43%, and the highest populations of functional microorganisms, including lactic acid bacteria (LAB) at 21.17</w:t>
      </w:r>
      <w:r w:rsidR="00C8085C" w:rsidRPr="00292037">
        <w:rPr>
          <w:lang w:val="en-US" w:eastAsia="en-ID"/>
        </w:rPr>
        <w:t>×</w:t>
      </w:r>
      <w:r w:rsidR="00B3009F" w:rsidRPr="00292037">
        <w:rPr>
          <w:lang w:val="en-US" w:eastAsia="en-ID"/>
        </w:rPr>
        <w:t>10</w:t>
      </w:r>
      <w:r w:rsidR="00B3009F" w:rsidRPr="00292037">
        <w:rPr>
          <w:vertAlign w:val="superscript"/>
          <w:lang w:val="en-US" w:eastAsia="en-ID"/>
        </w:rPr>
        <w:t>7</w:t>
      </w:r>
      <w:r w:rsidR="00B3009F" w:rsidRPr="00292037">
        <w:rPr>
          <w:lang w:val="en-US" w:eastAsia="en-ID"/>
        </w:rPr>
        <w:t xml:space="preserve">CFU/mL, </w:t>
      </w:r>
      <w:r w:rsidR="00B3009F" w:rsidRPr="00292037">
        <w:rPr>
          <w:i/>
          <w:iCs/>
          <w:lang w:val="en-US" w:eastAsia="en-ID"/>
        </w:rPr>
        <w:t xml:space="preserve">Actinomycetes </w:t>
      </w:r>
      <w:r w:rsidR="00B3009F" w:rsidRPr="00292037">
        <w:rPr>
          <w:lang w:val="en-US" w:eastAsia="en-ID"/>
        </w:rPr>
        <w:t>at 3.90</w:t>
      </w:r>
      <w:r w:rsidR="00C8085C" w:rsidRPr="00292037">
        <w:rPr>
          <w:lang w:val="en-US" w:eastAsia="en-ID"/>
        </w:rPr>
        <w:t>×</w:t>
      </w:r>
      <w:r w:rsidR="00B3009F" w:rsidRPr="00292037">
        <w:rPr>
          <w:lang w:val="en-US" w:eastAsia="en-ID"/>
        </w:rPr>
        <w:t>10</w:t>
      </w:r>
      <w:r w:rsidR="00B3009F" w:rsidRPr="00292037">
        <w:rPr>
          <w:vertAlign w:val="superscript"/>
          <w:lang w:val="en-US" w:eastAsia="en-ID"/>
        </w:rPr>
        <w:t>7</w:t>
      </w:r>
      <w:r w:rsidR="00B3009F" w:rsidRPr="00292037">
        <w:rPr>
          <w:lang w:val="en-US" w:eastAsia="en-ID"/>
        </w:rPr>
        <w:t xml:space="preserve">CFU/mL, </w:t>
      </w:r>
      <w:r w:rsidR="00B3009F" w:rsidRPr="00292037">
        <w:rPr>
          <w:i/>
          <w:iCs/>
          <w:lang w:val="en-US" w:eastAsia="en-ID"/>
        </w:rPr>
        <w:t>Bac</w:t>
      </w:r>
      <w:r w:rsidR="000001FD" w:rsidRPr="00292037">
        <w:rPr>
          <w:i/>
          <w:iCs/>
          <w:lang w:val="en-US" w:eastAsia="en-ID"/>
        </w:rPr>
        <w:t>i</w:t>
      </w:r>
      <w:r w:rsidR="00B3009F" w:rsidRPr="00292037">
        <w:rPr>
          <w:i/>
          <w:iCs/>
          <w:lang w:val="en-US" w:eastAsia="en-ID"/>
        </w:rPr>
        <w:t xml:space="preserve">llus </w:t>
      </w:r>
      <w:r w:rsidR="00B3009F" w:rsidRPr="00292037">
        <w:rPr>
          <w:lang w:val="en-US" w:eastAsia="en-ID"/>
        </w:rPr>
        <w:t>sp</w:t>
      </w:r>
      <w:r w:rsidR="00B3009F" w:rsidRPr="00292037">
        <w:rPr>
          <w:i/>
          <w:iCs/>
          <w:lang w:val="en-US" w:eastAsia="en-ID"/>
        </w:rPr>
        <w:t>.</w:t>
      </w:r>
      <w:r w:rsidR="00B3009F" w:rsidRPr="00292037">
        <w:rPr>
          <w:lang w:val="en-US" w:eastAsia="en-ID"/>
        </w:rPr>
        <w:t xml:space="preserve"> at 2.83</w:t>
      </w:r>
      <w:r w:rsidR="00C8085C" w:rsidRPr="00292037">
        <w:rPr>
          <w:lang w:val="en-US" w:eastAsia="en-ID"/>
        </w:rPr>
        <w:t>×</w:t>
      </w:r>
      <w:r w:rsidR="00B3009F" w:rsidRPr="00292037">
        <w:rPr>
          <w:lang w:val="en-US" w:eastAsia="en-ID"/>
        </w:rPr>
        <w:t>10</w:t>
      </w:r>
      <w:r w:rsidR="00B3009F" w:rsidRPr="00292037">
        <w:rPr>
          <w:vertAlign w:val="superscript"/>
          <w:lang w:val="en-US" w:eastAsia="en-ID"/>
        </w:rPr>
        <w:t>7</w:t>
      </w:r>
      <w:r w:rsidR="00B3009F" w:rsidRPr="00292037">
        <w:rPr>
          <w:lang w:val="en-US" w:eastAsia="en-ID"/>
        </w:rPr>
        <w:t>CFU/mL and yeast</w:t>
      </w:r>
      <w:r w:rsidR="000001FD" w:rsidRPr="00292037">
        <w:rPr>
          <w:lang w:val="en-US" w:eastAsia="en-ID"/>
        </w:rPr>
        <w:t>s</w:t>
      </w:r>
      <w:r w:rsidR="00B3009F" w:rsidRPr="00292037">
        <w:rPr>
          <w:lang w:val="en-US" w:eastAsia="en-ID"/>
        </w:rPr>
        <w:t xml:space="preserve"> at 3.83</w:t>
      </w:r>
      <w:r w:rsidR="00C8085C" w:rsidRPr="00292037">
        <w:rPr>
          <w:lang w:val="en-US" w:eastAsia="en-ID"/>
        </w:rPr>
        <w:t>×</w:t>
      </w:r>
      <w:r w:rsidR="00B3009F" w:rsidRPr="00292037">
        <w:rPr>
          <w:lang w:val="en-US" w:eastAsia="en-ID"/>
        </w:rPr>
        <w:t>10</w:t>
      </w:r>
      <w:r w:rsidR="00B3009F" w:rsidRPr="00292037">
        <w:rPr>
          <w:vertAlign w:val="superscript"/>
          <w:lang w:val="en-US" w:eastAsia="en-ID"/>
        </w:rPr>
        <w:t>7</w:t>
      </w:r>
      <w:r w:rsidR="00B3009F" w:rsidRPr="00292037">
        <w:rPr>
          <w:lang w:val="en-US" w:eastAsia="en-ID"/>
        </w:rPr>
        <w:t>CFU/</w:t>
      </w:r>
      <w:proofErr w:type="spellStart"/>
      <w:r w:rsidR="00B3009F" w:rsidRPr="00292037">
        <w:rPr>
          <w:lang w:val="en-US" w:eastAsia="en-ID"/>
        </w:rPr>
        <w:t>mL.</w:t>
      </w:r>
      <w:proofErr w:type="spellEnd"/>
      <w:r w:rsidR="00B3009F" w:rsidRPr="00292037">
        <w:rPr>
          <w:lang w:val="en-US" w:eastAsia="en-ID"/>
        </w:rPr>
        <w:t xml:space="preserve"> </w:t>
      </w:r>
      <w:r w:rsidR="00634FF9" w:rsidRPr="00292037">
        <w:t xml:space="preserve">These </w:t>
      </w:r>
      <w:r w:rsidR="00634FF9" w:rsidRPr="00292037">
        <w:rPr>
          <w:lang w:val="en-US"/>
        </w:rPr>
        <w:t xml:space="preserve">quantitative indicators demonstrate that A2B2 consistently outperformed the other treatments. </w:t>
      </w:r>
      <w:r w:rsidR="000001FD" w:rsidRPr="00292037">
        <w:rPr>
          <w:lang w:val="en-US"/>
        </w:rPr>
        <w:t>Overall, t</w:t>
      </w:r>
      <w:r w:rsidR="00634FF9" w:rsidRPr="00292037">
        <w:rPr>
          <w:lang w:val="en-US"/>
        </w:rPr>
        <w:t>his formulation represents a promising probiotic candidate that warrants further evaluation for potential use in feed</w:t>
      </w:r>
      <w:r w:rsidR="000001FD" w:rsidRPr="00292037">
        <w:rPr>
          <w:lang w:val="en-US"/>
        </w:rPr>
        <w:t xml:space="preserve">-related applications. </w:t>
      </w:r>
    </w:p>
    <w:p w14:paraId="18043ABF" w14:textId="77E1E318" w:rsidR="00EB474A" w:rsidRPr="00292037" w:rsidRDefault="00EB474A" w:rsidP="00EB474A">
      <w:pPr>
        <w:pStyle w:val="NormalWeb"/>
        <w:spacing w:before="0" w:beforeAutospacing="0" w:after="0" w:afterAutospacing="0" w:line="360" w:lineRule="auto"/>
        <w:jc w:val="both"/>
        <w:rPr>
          <w:rStyle w:val="Strong"/>
        </w:rPr>
      </w:pPr>
      <w:r w:rsidRPr="00292037">
        <w:rPr>
          <w:rStyle w:val="Strong"/>
        </w:rPr>
        <w:t>Conflict of Interest</w:t>
      </w:r>
    </w:p>
    <w:p w14:paraId="29211DD4" w14:textId="77777777" w:rsidR="00EB474A" w:rsidRPr="00292037" w:rsidRDefault="00EB474A" w:rsidP="00EB474A">
      <w:pPr>
        <w:spacing w:after="0" w:line="360" w:lineRule="auto"/>
        <w:jc w:val="both"/>
        <w:rPr>
          <w:rFonts w:ascii="Times New Roman" w:eastAsia="DengXian" w:hAnsi="Times New Roman" w:cs="Times New Roman"/>
          <w:b/>
          <w:bCs/>
          <w:sz w:val="24"/>
          <w:szCs w:val="24"/>
          <w:lang w:val="en-US" w:eastAsia="zh-CN"/>
        </w:rPr>
      </w:pPr>
      <w:r w:rsidRPr="00292037">
        <w:rPr>
          <w:rFonts w:ascii="Times New Roman" w:hAnsi="Times New Roman" w:cs="Times New Roman"/>
          <w:sz w:val="24"/>
          <w:szCs w:val="24"/>
          <w:lang w:val="en-US"/>
        </w:rPr>
        <w:t>T</w:t>
      </w:r>
      <w:r w:rsidRPr="00292037">
        <w:rPr>
          <w:rFonts w:ascii="Times New Roman" w:hAnsi="Times New Roman" w:cs="Times New Roman"/>
          <w:sz w:val="24"/>
          <w:szCs w:val="24"/>
        </w:rPr>
        <w:t>he authors declare there is no conflict of interest.</w:t>
      </w:r>
    </w:p>
    <w:p w14:paraId="2FD2129F" w14:textId="1DAF0D11" w:rsidR="00EB474A" w:rsidRPr="00292037" w:rsidRDefault="00EB474A" w:rsidP="00EB474A">
      <w:pPr>
        <w:pStyle w:val="NormalWeb"/>
        <w:spacing w:before="0" w:beforeAutospacing="0" w:after="0" w:afterAutospacing="0" w:line="360" w:lineRule="auto"/>
        <w:jc w:val="both"/>
        <w:rPr>
          <w:rStyle w:val="Strong"/>
        </w:rPr>
      </w:pPr>
      <w:r w:rsidRPr="00292037">
        <w:rPr>
          <w:rStyle w:val="Strong"/>
        </w:rPr>
        <w:t>Acknowledgements</w:t>
      </w:r>
    </w:p>
    <w:p w14:paraId="5F94FC19" w14:textId="64867E84" w:rsidR="00EB474A" w:rsidRPr="00292037" w:rsidRDefault="00EB474A" w:rsidP="00EB474A">
      <w:pPr>
        <w:pStyle w:val="NormalWeb"/>
        <w:spacing w:before="0" w:beforeAutospacing="0" w:after="0" w:afterAutospacing="0" w:line="360" w:lineRule="auto"/>
        <w:ind w:firstLine="720"/>
        <w:jc w:val="both"/>
      </w:pPr>
      <w:r w:rsidRPr="00292037">
        <w:t>The authors would like to express their sincere gratitude to the Faculty of Agriculture, Universitas Sumatera Utara, for providing financial support through the Young Lecturer Research Grant Scheme. Appreciation is also extended to all research team members, including fellow lecturers and students, for their valuable assistance and contributions throughout the implementation of this study.</w:t>
      </w:r>
    </w:p>
    <w:p w14:paraId="16B07A9A" w14:textId="153181D7" w:rsidR="00EB474A" w:rsidRPr="00292037" w:rsidRDefault="00EB474A" w:rsidP="00EB474A">
      <w:pPr>
        <w:pStyle w:val="NormalWeb"/>
        <w:spacing w:before="0" w:beforeAutospacing="0" w:after="0" w:afterAutospacing="0" w:line="360" w:lineRule="auto"/>
        <w:jc w:val="both"/>
        <w:rPr>
          <w:rStyle w:val="Strong"/>
        </w:rPr>
      </w:pPr>
      <w:r w:rsidRPr="00292037">
        <w:rPr>
          <w:rStyle w:val="Strong"/>
        </w:rPr>
        <w:t>Authors’ Contributions</w:t>
      </w:r>
    </w:p>
    <w:p w14:paraId="1837A25A" w14:textId="70BB8582" w:rsidR="00EB474A" w:rsidRPr="00292037" w:rsidRDefault="00EB474A" w:rsidP="00EB474A">
      <w:pPr>
        <w:spacing w:after="0" w:line="360" w:lineRule="auto"/>
        <w:ind w:firstLine="720"/>
        <w:jc w:val="both"/>
        <w:rPr>
          <w:rFonts w:ascii="Times New Roman" w:eastAsia="Helvetica" w:hAnsi="Times New Roman"/>
          <w:spacing w:val="5"/>
          <w:sz w:val="24"/>
          <w:szCs w:val="24"/>
          <w:shd w:val="clear" w:color="auto" w:fill="FFFFFF"/>
        </w:rPr>
      </w:pPr>
      <w:r w:rsidRPr="00292037">
        <w:rPr>
          <w:rFonts w:ascii="Times New Roman" w:eastAsia="Helvetica" w:hAnsi="Times New Roman"/>
          <w:spacing w:val="5"/>
          <w:sz w:val="24"/>
          <w:szCs w:val="24"/>
          <w:shd w:val="clear" w:color="auto" w:fill="FFFFFF"/>
          <w:lang w:val="en-US"/>
        </w:rPr>
        <w:t>MA</w:t>
      </w:r>
      <w:r w:rsidRPr="00292037">
        <w:rPr>
          <w:rFonts w:ascii="Times New Roman" w:eastAsia="Helvetica" w:hAnsi="Times New Roman"/>
          <w:spacing w:val="5"/>
          <w:sz w:val="24"/>
          <w:szCs w:val="24"/>
          <w:shd w:val="clear" w:color="auto" w:fill="FFFFFF"/>
        </w:rPr>
        <w:t xml:space="preserve"> and </w:t>
      </w:r>
      <w:r w:rsidRPr="00292037">
        <w:rPr>
          <w:rFonts w:ascii="Times New Roman" w:eastAsia="Helvetica" w:hAnsi="Times New Roman"/>
          <w:spacing w:val="5"/>
          <w:sz w:val="24"/>
          <w:szCs w:val="24"/>
          <w:shd w:val="clear" w:color="auto" w:fill="FFFFFF"/>
          <w:lang w:val="en-US"/>
        </w:rPr>
        <w:t>WFS</w:t>
      </w:r>
      <w:r w:rsidRPr="00292037">
        <w:rPr>
          <w:rFonts w:ascii="Times New Roman" w:eastAsia="Helvetica" w:hAnsi="Times New Roman"/>
          <w:spacing w:val="5"/>
          <w:sz w:val="24"/>
          <w:szCs w:val="24"/>
          <w:shd w:val="clear" w:color="auto" w:fill="FFFFFF"/>
        </w:rPr>
        <w:t xml:space="preserve"> </w:t>
      </w:r>
      <w:r w:rsidR="00780324" w:rsidRPr="00292037">
        <w:rPr>
          <w:rFonts w:ascii="Times New Roman" w:eastAsia="Helvetica" w:hAnsi="Times New Roman"/>
          <w:spacing w:val="5"/>
          <w:sz w:val="24"/>
          <w:szCs w:val="24"/>
          <w:shd w:val="clear" w:color="auto" w:fill="FFFFFF"/>
        </w:rPr>
        <w:t>were</w:t>
      </w:r>
      <w:r w:rsidRPr="00292037">
        <w:rPr>
          <w:rFonts w:ascii="Times New Roman" w:eastAsia="Helvetica" w:hAnsi="Times New Roman"/>
          <w:spacing w:val="5"/>
          <w:sz w:val="24"/>
          <w:szCs w:val="24"/>
          <w:shd w:val="clear" w:color="auto" w:fill="FFFFFF"/>
        </w:rPr>
        <w:t xml:space="preserve"> responsible for formulating the study and assessing the manuscript. </w:t>
      </w:r>
      <w:r w:rsidRPr="00292037">
        <w:rPr>
          <w:rFonts w:ascii="Times New Roman" w:eastAsia="Helvetica" w:hAnsi="Times New Roman"/>
          <w:spacing w:val="5"/>
          <w:sz w:val="24"/>
          <w:szCs w:val="24"/>
          <w:shd w:val="clear" w:color="auto" w:fill="FFFFFF"/>
          <w:lang w:val="en-US"/>
        </w:rPr>
        <w:t>MA</w:t>
      </w:r>
      <w:r w:rsidRPr="00292037">
        <w:rPr>
          <w:rFonts w:ascii="Times New Roman" w:eastAsia="Helvetica" w:hAnsi="Times New Roman"/>
          <w:spacing w:val="5"/>
          <w:sz w:val="24"/>
          <w:szCs w:val="24"/>
          <w:shd w:val="clear" w:color="auto" w:fill="FFFFFF"/>
        </w:rPr>
        <w:t xml:space="preserve">, </w:t>
      </w:r>
      <w:r w:rsidRPr="00292037">
        <w:rPr>
          <w:rFonts w:ascii="Times New Roman" w:eastAsia="Helvetica" w:hAnsi="Times New Roman"/>
          <w:spacing w:val="5"/>
          <w:sz w:val="24"/>
          <w:szCs w:val="24"/>
          <w:shd w:val="clear" w:color="auto" w:fill="FFFFFF"/>
          <w:lang w:val="en-US"/>
        </w:rPr>
        <w:t>VOA</w:t>
      </w:r>
      <w:r w:rsidRPr="00292037">
        <w:rPr>
          <w:rFonts w:ascii="Times New Roman" w:eastAsia="Helvetica" w:hAnsi="Times New Roman"/>
          <w:spacing w:val="5"/>
          <w:sz w:val="24"/>
          <w:szCs w:val="24"/>
          <w:shd w:val="clear" w:color="auto" w:fill="FFFFFF"/>
        </w:rPr>
        <w:t xml:space="preserve">, and </w:t>
      </w:r>
      <w:r w:rsidRPr="00292037">
        <w:rPr>
          <w:rFonts w:ascii="Times New Roman" w:eastAsia="Helvetica" w:hAnsi="Times New Roman"/>
          <w:spacing w:val="5"/>
          <w:sz w:val="24"/>
          <w:szCs w:val="24"/>
          <w:shd w:val="clear" w:color="auto" w:fill="FFFFFF"/>
          <w:lang w:val="en-US"/>
        </w:rPr>
        <w:t>AT</w:t>
      </w:r>
      <w:r w:rsidRPr="00292037">
        <w:rPr>
          <w:rFonts w:ascii="Times New Roman" w:eastAsia="Helvetica" w:hAnsi="Times New Roman"/>
          <w:spacing w:val="5"/>
          <w:sz w:val="24"/>
          <w:szCs w:val="24"/>
          <w:shd w:val="clear" w:color="auto" w:fill="FFFFFF"/>
        </w:rPr>
        <w:t xml:space="preserve">. They conducted field and laboratory investigations and gathered information. MA </w:t>
      </w:r>
      <w:r w:rsidRPr="00292037">
        <w:rPr>
          <w:rFonts w:ascii="Times New Roman" w:eastAsia="Helvetica" w:hAnsi="Times New Roman"/>
          <w:spacing w:val="5"/>
          <w:sz w:val="24"/>
          <w:szCs w:val="24"/>
          <w:shd w:val="clear" w:color="auto" w:fill="FFFFFF"/>
          <w:lang w:val="en-US"/>
        </w:rPr>
        <w:t xml:space="preserve">and WFS </w:t>
      </w:r>
      <w:r w:rsidRPr="00292037">
        <w:rPr>
          <w:rFonts w:ascii="Times New Roman" w:eastAsia="Helvetica" w:hAnsi="Times New Roman"/>
          <w:spacing w:val="5"/>
          <w:sz w:val="24"/>
          <w:szCs w:val="24"/>
          <w:shd w:val="clear" w:color="auto" w:fill="FFFFFF"/>
        </w:rPr>
        <w:t>conducted the data analysis and wrote and polished the manuscript. All authors have reviewed, assessed, and approved the final manuscript.</w:t>
      </w:r>
    </w:p>
    <w:p w14:paraId="5F82A94D" w14:textId="0B2C3542" w:rsidR="00F94A82" w:rsidRPr="00292037" w:rsidRDefault="00E57096" w:rsidP="00292037">
      <w:pPr>
        <w:pStyle w:val="NormalWeb"/>
        <w:spacing w:before="0" w:beforeAutospacing="0" w:after="0" w:afterAutospacing="0" w:line="360" w:lineRule="auto"/>
        <w:jc w:val="both"/>
        <w:rPr>
          <w:b/>
          <w:bCs/>
          <w:lang w:val="en-US" w:eastAsia="en-ID"/>
        </w:rPr>
      </w:pPr>
      <w:r w:rsidRPr="00292037">
        <w:rPr>
          <w:b/>
          <w:bCs/>
          <w:lang w:val="en-US" w:eastAsia="en-ID"/>
        </w:rPr>
        <w:t>Ethical statement</w:t>
      </w:r>
    </w:p>
    <w:p w14:paraId="70F29608" w14:textId="6D8C0190" w:rsidR="0067228C" w:rsidRPr="00292037" w:rsidRDefault="0067228C" w:rsidP="00292037">
      <w:pPr>
        <w:pStyle w:val="NormalWeb"/>
        <w:spacing w:before="0" w:beforeAutospacing="0" w:after="0" w:afterAutospacing="0" w:line="360" w:lineRule="auto"/>
        <w:jc w:val="both"/>
        <w:rPr>
          <w:b/>
          <w:bCs/>
          <w:lang w:val="en-US" w:eastAsia="en-ID"/>
        </w:rPr>
      </w:pPr>
      <w:r w:rsidRPr="00292037">
        <w:rPr>
          <w:b/>
          <w:bCs/>
          <w:lang w:val="en-US" w:eastAsia="en-ID"/>
        </w:rPr>
        <w:tab/>
      </w:r>
      <w:r w:rsidRPr="00292037">
        <w:rPr>
          <w:lang w:val="en-US" w:eastAsia="en-ID"/>
        </w:rPr>
        <w:t xml:space="preserve">The research did not involve any experimentation on animals or human subjects. All procedures were limited to laboratory analyses and complied with institutional research polices; hence, no ethical approval was necessary. </w:t>
      </w:r>
    </w:p>
    <w:p w14:paraId="663071B7" w14:textId="6B95CBC5" w:rsidR="00E57096" w:rsidRPr="00292037" w:rsidRDefault="00E57096" w:rsidP="00292037">
      <w:pPr>
        <w:pStyle w:val="NormalWeb"/>
        <w:spacing w:before="0" w:beforeAutospacing="0" w:after="0" w:afterAutospacing="0" w:line="360" w:lineRule="auto"/>
        <w:jc w:val="both"/>
        <w:rPr>
          <w:b/>
          <w:bCs/>
          <w:lang w:val="en-US" w:eastAsia="en-ID"/>
        </w:rPr>
      </w:pPr>
      <w:r w:rsidRPr="00292037">
        <w:rPr>
          <w:b/>
          <w:bCs/>
          <w:lang w:val="en-US" w:eastAsia="en-ID"/>
        </w:rPr>
        <w:t>Funding</w:t>
      </w:r>
      <w:r w:rsidR="0067228C" w:rsidRPr="00292037">
        <w:rPr>
          <w:b/>
          <w:bCs/>
          <w:lang w:val="en-US" w:eastAsia="en-ID"/>
        </w:rPr>
        <w:t xml:space="preserve"> </w:t>
      </w:r>
    </w:p>
    <w:p w14:paraId="21C3CC8C" w14:textId="4F912D4D" w:rsidR="0067228C" w:rsidRPr="00292037" w:rsidRDefault="0067228C" w:rsidP="00292037">
      <w:pPr>
        <w:pStyle w:val="NormalWeb"/>
        <w:spacing w:before="0" w:beforeAutospacing="0" w:after="0" w:afterAutospacing="0" w:line="360" w:lineRule="auto"/>
        <w:jc w:val="both"/>
        <w:rPr>
          <w:lang w:val="en-US" w:eastAsia="en-ID"/>
        </w:rPr>
      </w:pPr>
      <w:r w:rsidRPr="00292037">
        <w:rPr>
          <w:b/>
          <w:bCs/>
          <w:lang w:val="en-US" w:eastAsia="en-ID"/>
        </w:rPr>
        <w:lastRenderedPageBreak/>
        <w:tab/>
      </w:r>
      <w:r w:rsidR="00D41729" w:rsidRPr="00292037">
        <w:rPr>
          <w:lang w:val="en-US" w:eastAsia="en-ID"/>
        </w:rPr>
        <w:t xml:space="preserve">Funding for this research was provided by the TALENTA Research Program, Universitas Sumatera Utara, through the </w:t>
      </w:r>
      <w:proofErr w:type="spellStart"/>
      <w:r w:rsidR="00D41729" w:rsidRPr="00292037">
        <w:rPr>
          <w:lang w:val="en-US" w:eastAsia="en-ID"/>
        </w:rPr>
        <w:t>Penelitian</w:t>
      </w:r>
      <w:proofErr w:type="spellEnd"/>
      <w:r w:rsidR="00D41729" w:rsidRPr="00292037">
        <w:rPr>
          <w:lang w:val="en-US" w:eastAsia="en-ID"/>
        </w:rPr>
        <w:t xml:space="preserve"> Dosen Muda/</w:t>
      </w:r>
      <w:proofErr w:type="spellStart"/>
      <w:r w:rsidR="00D41729" w:rsidRPr="00292037">
        <w:rPr>
          <w:lang w:val="en-US" w:eastAsia="en-ID"/>
        </w:rPr>
        <w:t>Pemula</w:t>
      </w:r>
      <w:proofErr w:type="spellEnd"/>
      <w:r w:rsidR="00D41729" w:rsidRPr="00292037">
        <w:rPr>
          <w:lang w:val="en-US" w:eastAsia="en-ID"/>
        </w:rPr>
        <w:t xml:space="preserve"> scheme, under Contract Number 7247/UN5.2.</w:t>
      </w:r>
      <w:proofErr w:type="gramStart"/>
      <w:r w:rsidR="00D41729" w:rsidRPr="00292037">
        <w:rPr>
          <w:lang w:val="en-US" w:eastAsia="en-ID"/>
        </w:rPr>
        <w:t>3.D</w:t>
      </w:r>
      <w:proofErr w:type="gramEnd"/>
      <w:r w:rsidR="00D41729" w:rsidRPr="00292037">
        <w:rPr>
          <w:lang w:val="en-US" w:eastAsia="en-ID"/>
        </w:rPr>
        <w:t>3/PT.01.03/2025 (31 July 2025).</w:t>
      </w:r>
    </w:p>
    <w:p w14:paraId="5B523971" w14:textId="77777777" w:rsidR="00E57096" w:rsidRPr="00292037" w:rsidRDefault="00E57096" w:rsidP="00BD6A42">
      <w:pPr>
        <w:pStyle w:val="NormalWeb"/>
        <w:spacing w:before="0" w:beforeAutospacing="0" w:after="0" w:afterAutospacing="0"/>
        <w:jc w:val="both"/>
        <w:rPr>
          <w:b/>
          <w:bCs/>
          <w:lang w:val="en-US" w:eastAsia="en-ID"/>
        </w:rPr>
      </w:pPr>
    </w:p>
    <w:p w14:paraId="274EE1C2" w14:textId="1FECEE67" w:rsidR="00041069" w:rsidRPr="00292037" w:rsidRDefault="00EB474A" w:rsidP="00BD6A42">
      <w:pPr>
        <w:pStyle w:val="NormalWeb"/>
        <w:spacing w:before="0" w:beforeAutospacing="0" w:after="0" w:afterAutospacing="0"/>
        <w:jc w:val="both"/>
        <w:rPr>
          <w:b/>
          <w:bCs/>
          <w:lang w:val="en-US" w:eastAsia="en-ID"/>
        </w:rPr>
      </w:pPr>
      <w:r w:rsidRPr="00292037">
        <w:rPr>
          <w:b/>
          <w:bCs/>
          <w:lang w:val="en-US" w:eastAsia="en-ID"/>
        </w:rPr>
        <w:t xml:space="preserve">References </w:t>
      </w:r>
    </w:p>
    <w:p w14:paraId="5786CB7C" w14:textId="77777777" w:rsidR="00292037" w:rsidRPr="00780324" w:rsidRDefault="00292037" w:rsidP="00292037">
      <w:pPr>
        <w:spacing w:before="240" w:line="240" w:lineRule="auto"/>
        <w:ind w:left="851" w:hanging="851"/>
        <w:jc w:val="both"/>
        <w:rPr>
          <w:rFonts w:ascii="Times New Roman" w:eastAsia="Times New Roman" w:hAnsi="Times New Roman" w:cs="Times New Roman"/>
          <w:sz w:val="24"/>
          <w:szCs w:val="24"/>
          <w:lang w:val="en-US" w:eastAsia="en-ID"/>
        </w:rPr>
      </w:pPr>
      <w:r w:rsidRPr="00292037">
        <w:rPr>
          <w:rFonts w:ascii="Times New Roman" w:eastAsia="Times New Roman" w:hAnsi="Times New Roman" w:cs="Times New Roman"/>
          <w:sz w:val="24"/>
          <w:szCs w:val="24"/>
          <w:lang w:eastAsia="en-ID"/>
        </w:rPr>
        <w:t xml:space="preserve">Ali, A. A. H., Alrahman, Z. M. A., </w:t>
      </w:r>
      <w:proofErr w:type="spellStart"/>
      <w:r w:rsidRPr="00292037">
        <w:rPr>
          <w:rFonts w:ascii="Times New Roman" w:eastAsia="Times New Roman" w:hAnsi="Times New Roman" w:cs="Times New Roman"/>
          <w:sz w:val="24"/>
          <w:szCs w:val="24"/>
          <w:lang w:eastAsia="en-ID"/>
        </w:rPr>
        <w:t>Alfeetori</w:t>
      </w:r>
      <w:proofErr w:type="spellEnd"/>
      <w:r w:rsidRPr="00292037">
        <w:rPr>
          <w:rFonts w:ascii="Times New Roman" w:eastAsia="Times New Roman" w:hAnsi="Times New Roman" w:cs="Times New Roman"/>
          <w:sz w:val="24"/>
          <w:szCs w:val="24"/>
          <w:lang w:eastAsia="en-ID"/>
        </w:rPr>
        <w:t>, O. H., &amp; Jebril, W. A. (2019, August). Biomass energy: Bio-ethanol production from date molasses using alcoholic fermentation. In </w:t>
      </w:r>
      <w:r w:rsidRPr="00292037">
        <w:rPr>
          <w:rFonts w:ascii="Times New Roman" w:eastAsia="Times New Roman" w:hAnsi="Times New Roman" w:cs="Times New Roman"/>
          <w:i/>
          <w:iCs/>
          <w:sz w:val="24"/>
          <w:szCs w:val="24"/>
          <w:lang w:eastAsia="en-ID"/>
        </w:rPr>
        <w:t>AIP Conference Proceedings</w:t>
      </w:r>
      <w:r w:rsidRPr="00292037">
        <w:rPr>
          <w:rFonts w:ascii="Times New Roman" w:eastAsia="Times New Roman" w:hAnsi="Times New Roman" w:cs="Times New Roman"/>
          <w:sz w:val="24"/>
          <w:szCs w:val="24"/>
          <w:lang w:eastAsia="en-ID"/>
        </w:rPr>
        <w:t> (Vol. 2146, No. 1, p. 020010).</w:t>
      </w:r>
      <w:r w:rsidRPr="00780324">
        <w:rPr>
          <w:rFonts w:ascii="Times New Roman" w:eastAsia="Times New Roman" w:hAnsi="Times New Roman" w:cs="Times New Roman"/>
          <w:sz w:val="24"/>
          <w:szCs w:val="24"/>
          <w:lang w:val="en-US" w:eastAsia="en-ID"/>
        </w:rPr>
        <w:t xml:space="preserve"> </w:t>
      </w:r>
      <w:hyperlink r:id="rId13" w:history="1">
        <w:r w:rsidRPr="00780324">
          <w:rPr>
            <w:rStyle w:val="Hyperlink"/>
            <w:rFonts w:ascii="Times New Roman" w:eastAsia="Times New Roman" w:hAnsi="Times New Roman" w:cs="Times New Roman"/>
            <w:color w:val="auto"/>
            <w:sz w:val="24"/>
            <w:szCs w:val="24"/>
            <w:lang w:val="en-US" w:eastAsia="en-ID"/>
          </w:rPr>
          <w:t>https://doi.org/10.1063/1.5123697</w:t>
        </w:r>
      </w:hyperlink>
    </w:p>
    <w:p w14:paraId="69394111" w14:textId="5D26E5AA" w:rsidR="00292037" w:rsidRPr="00292037" w:rsidRDefault="00292037" w:rsidP="00292037">
      <w:pPr>
        <w:spacing w:before="240" w:line="240" w:lineRule="auto"/>
        <w:ind w:left="851" w:hanging="851"/>
        <w:jc w:val="both"/>
        <w:rPr>
          <w:rFonts w:ascii="Times New Roman" w:eastAsia="Times New Roman" w:hAnsi="Times New Roman" w:cs="Times New Roman"/>
          <w:sz w:val="24"/>
          <w:szCs w:val="24"/>
          <w:lang w:eastAsia="en-ID"/>
        </w:rPr>
      </w:pPr>
      <w:r w:rsidRPr="0017451F">
        <w:rPr>
          <w:rFonts w:ascii="Times New Roman" w:eastAsia="Times New Roman" w:hAnsi="Times New Roman" w:cs="Times New Roman"/>
          <w:sz w:val="24"/>
          <w:szCs w:val="24"/>
          <w:lang w:val="pt-BR" w:eastAsia="en-ID"/>
        </w:rPr>
        <w:t xml:space="preserve">Aminuddin, M. H., Elias, N. H., Moh, J. H., &amp; Zainalabidin, N. (2023). </w:t>
      </w:r>
      <w:r w:rsidRPr="00292037">
        <w:rPr>
          <w:rFonts w:ascii="Times New Roman" w:eastAsia="Times New Roman" w:hAnsi="Times New Roman" w:cs="Times New Roman"/>
          <w:sz w:val="24"/>
          <w:szCs w:val="24"/>
          <w:lang w:eastAsia="en-ID"/>
        </w:rPr>
        <w:t xml:space="preserve">Bioconversion of </w:t>
      </w:r>
      <w:r w:rsidR="00780324" w:rsidRPr="00292037">
        <w:rPr>
          <w:rFonts w:ascii="Times New Roman" w:eastAsia="Times New Roman" w:hAnsi="Times New Roman" w:cs="Times New Roman"/>
          <w:sz w:val="24"/>
          <w:szCs w:val="24"/>
          <w:lang w:eastAsia="en-ID"/>
        </w:rPr>
        <w:t>organic wastes by black soldier fly for chitin, lipid and protein production</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International Journal of Biomass Utilization and Sustainable Energy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w:t>
      </w:r>
      <w:r w:rsidRPr="00292037">
        <w:rPr>
          <w:rFonts w:ascii="Times New Roman" w:eastAsia="Times New Roman" w:hAnsi="Times New Roman" w:cs="Times New Roman"/>
          <w:sz w:val="24"/>
          <w:szCs w:val="24"/>
          <w:lang w:eastAsia="en-ID"/>
        </w:rPr>
        <w:t xml:space="preserve">. </w:t>
      </w:r>
      <w:hyperlink r:id="rId14" w:history="1">
        <w:r w:rsidRPr="00292037">
          <w:rPr>
            <w:rStyle w:val="Hyperlink"/>
            <w:rFonts w:ascii="Times New Roman" w:eastAsia="Times New Roman" w:hAnsi="Times New Roman" w:cs="Times New Roman"/>
            <w:color w:val="auto"/>
            <w:sz w:val="24"/>
            <w:szCs w:val="24"/>
            <w:lang w:eastAsia="en-ID"/>
          </w:rPr>
          <w:t>https://doi.org/10.58915/ijbuse.v1.2023.240</w:t>
        </w:r>
      </w:hyperlink>
      <w:r w:rsidRPr="00292037">
        <w:rPr>
          <w:rFonts w:ascii="Times New Roman" w:eastAsia="Times New Roman" w:hAnsi="Times New Roman" w:cs="Times New Roman"/>
          <w:sz w:val="24"/>
          <w:szCs w:val="24"/>
          <w:lang w:eastAsia="en-ID"/>
        </w:rPr>
        <w:t xml:space="preserve"> </w:t>
      </w:r>
    </w:p>
    <w:p w14:paraId="54820E07" w14:textId="662CAC61" w:rsidR="00292037" w:rsidRPr="00292037" w:rsidRDefault="00292037" w:rsidP="00A44DBC">
      <w:pPr>
        <w:spacing w:before="240" w:line="240" w:lineRule="auto"/>
        <w:ind w:left="851" w:hanging="851"/>
        <w:jc w:val="both"/>
        <w:rPr>
          <w:rFonts w:ascii="Times New Roman" w:hAnsi="Times New Roman" w:cs="Times New Roman"/>
          <w:sz w:val="24"/>
          <w:szCs w:val="24"/>
          <w:shd w:val="clear" w:color="auto" w:fill="FFFFFF"/>
        </w:rPr>
      </w:pPr>
      <w:r w:rsidRPr="00780324">
        <w:rPr>
          <w:rFonts w:ascii="Times New Roman" w:hAnsi="Times New Roman" w:cs="Times New Roman"/>
          <w:sz w:val="24"/>
          <w:szCs w:val="24"/>
          <w:shd w:val="clear" w:color="auto" w:fill="FFFFFF"/>
          <w:lang w:val="sv-SE"/>
        </w:rPr>
        <w:t xml:space="preserve">Amran, M., Nuraini, N., &amp; Mirzah, M. (2021). </w:t>
      </w:r>
      <w:r w:rsidRPr="00292037">
        <w:rPr>
          <w:rFonts w:ascii="Times New Roman" w:hAnsi="Times New Roman" w:cs="Times New Roman"/>
          <w:sz w:val="24"/>
          <w:szCs w:val="24"/>
          <w:shd w:val="clear" w:color="auto" w:fill="FFFFFF"/>
        </w:rPr>
        <w:t>The effect of fermentation culture media with different microbes on the production of black soldier fly (</w:t>
      </w:r>
      <w:proofErr w:type="spellStart"/>
      <w:r w:rsidRPr="00292037">
        <w:rPr>
          <w:rFonts w:ascii="Times New Roman" w:hAnsi="Times New Roman" w:cs="Times New Roman"/>
          <w:i/>
          <w:iCs/>
          <w:sz w:val="24"/>
          <w:szCs w:val="24"/>
          <w:shd w:val="clear" w:color="auto" w:fill="FFFFFF"/>
        </w:rPr>
        <w:t>Hermetia</w:t>
      </w:r>
      <w:proofErr w:type="spellEnd"/>
      <w:r w:rsidRPr="00292037">
        <w:rPr>
          <w:rFonts w:ascii="Times New Roman" w:hAnsi="Times New Roman" w:cs="Times New Roman"/>
          <w:i/>
          <w:iCs/>
          <w:sz w:val="24"/>
          <w:szCs w:val="24"/>
          <w:shd w:val="clear" w:color="auto" w:fill="FFFFFF"/>
        </w:rPr>
        <w:t xml:space="preserve"> </w:t>
      </w:r>
      <w:proofErr w:type="spellStart"/>
      <w:r w:rsidRPr="00292037">
        <w:rPr>
          <w:rFonts w:ascii="Times New Roman" w:hAnsi="Times New Roman" w:cs="Times New Roman"/>
          <w:i/>
          <w:iCs/>
          <w:sz w:val="24"/>
          <w:szCs w:val="24"/>
          <w:shd w:val="clear" w:color="auto" w:fill="FFFFFF"/>
        </w:rPr>
        <w:t>illucens</w:t>
      </w:r>
      <w:proofErr w:type="spellEnd"/>
      <w:r w:rsidRPr="00292037">
        <w:rPr>
          <w:rFonts w:ascii="Times New Roman" w:hAnsi="Times New Roman" w:cs="Times New Roman"/>
          <w:sz w:val="24"/>
          <w:szCs w:val="24"/>
          <w:shd w:val="clear" w:color="auto" w:fill="FFFFFF"/>
        </w:rPr>
        <w:t>) maggots. </w:t>
      </w:r>
      <w:r w:rsidRPr="00292037">
        <w:rPr>
          <w:rFonts w:ascii="Times New Roman" w:hAnsi="Times New Roman" w:cs="Times New Roman"/>
          <w:i/>
          <w:iCs/>
          <w:sz w:val="24"/>
          <w:szCs w:val="24"/>
          <w:shd w:val="clear" w:color="auto" w:fill="FFFFFF"/>
        </w:rPr>
        <w:t>Animal Husbandry Journal</w:t>
      </w:r>
      <w:r w:rsidRPr="00292037">
        <w:rPr>
          <w:rFonts w:ascii="Times New Roman" w:hAnsi="Times New Roman" w:cs="Times New Roman"/>
          <w:sz w:val="24"/>
          <w:szCs w:val="24"/>
          <w:shd w:val="clear" w:color="auto" w:fill="FFFFFF"/>
        </w:rPr>
        <w:t>, </w:t>
      </w:r>
      <w:r w:rsidRPr="00292037">
        <w:rPr>
          <w:rFonts w:ascii="Times New Roman" w:hAnsi="Times New Roman" w:cs="Times New Roman"/>
          <w:i/>
          <w:iCs/>
          <w:sz w:val="24"/>
          <w:szCs w:val="24"/>
          <w:shd w:val="clear" w:color="auto" w:fill="FFFFFF"/>
        </w:rPr>
        <w:t>18</w:t>
      </w:r>
      <w:r w:rsidRPr="00292037">
        <w:rPr>
          <w:rFonts w:ascii="Times New Roman" w:hAnsi="Times New Roman" w:cs="Times New Roman"/>
          <w:sz w:val="24"/>
          <w:szCs w:val="24"/>
          <w:shd w:val="clear" w:color="auto" w:fill="FFFFFF"/>
        </w:rPr>
        <w:t xml:space="preserve"> (1), 41-50. </w:t>
      </w:r>
      <w:hyperlink r:id="rId15" w:history="1">
        <w:r w:rsidRPr="00292037">
          <w:rPr>
            <w:rStyle w:val="Hyperlink"/>
            <w:rFonts w:ascii="Times New Roman" w:hAnsi="Times New Roman" w:cs="Times New Roman"/>
            <w:color w:val="auto"/>
            <w:sz w:val="24"/>
            <w:szCs w:val="24"/>
            <w:shd w:val="clear" w:color="auto" w:fill="FFFFFF"/>
          </w:rPr>
          <w:t>http://dx.doi.org/10.24014/jupet.v18i1.11253</w:t>
        </w:r>
      </w:hyperlink>
      <w:r w:rsidRPr="00292037">
        <w:rPr>
          <w:rFonts w:ascii="Times New Roman" w:hAnsi="Times New Roman" w:cs="Times New Roman"/>
          <w:sz w:val="24"/>
          <w:szCs w:val="24"/>
          <w:shd w:val="clear" w:color="auto" w:fill="FFFFFF"/>
        </w:rPr>
        <w:t xml:space="preserve"> </w:t>
      </w:r>
    </w:p>
    <w:p w14:paraId="1C610F1E" w14:textId="48E37BDA" w:rsidR="00292037" w:rsidRPr="00780324" w:rsidRDefault="00292037" w:rsidP="00292037">
      <w:pPr>
        <w:spacing w:before="240" w:line="240" w:lineRule="auto"/>
        <w:ind w:left="851" w:hanging="851"/>
        <w:jc w:val="both"/>
        <w:rPr>
          <w:rFonts w:ascii="Times New Roman" w:hAnsi="Times New Roman" w:cs="Times New Roman"/>
          <w:sz w:val="24"/>
          <w:szCs w:val="24"/>
          <w:shd w:val="clear" w:color="auto" w:fill="FFFFFF"/>
          <w:lang w:val="en-US"/>
        </w:rPr>
      </w:pPr>
      <w:r w:rsidRPr="00292037">
        <w:rPr>
          <w:rFonts w:ascii="Times New Roman" w:hAnsi="Times New Roman" w:cs="Times New Roman"/>
          <w:sz w:val="24"/>
          <w:szCs w:val="24"/>
          <w:shd w:val="clear" w:color="auto" w:fill="FFFFFF"/>
        </w:rPr>
        <w:t xml:space="preserve">Andriani, AD, </w:t>
      </w:r>
      <w:proofErr w:type="spellStart"/>
      <w:r w:rsidRPr="00292037">
        <w:rPr>
          <w:rFonts w:ascii="Times New Roman" w:hAnsi="Times New Roman" w:cs="Times New Roman"/>
          <w:sz w:val="24"/>
          <w:szCs w:val="24"/>
          <w:shd w:val="clear" w:color="auto" w:fill="FFFFFF"/>
        </w:rPr>
        <w:t>Lokapirnasari</w:t>
      </w:r>
      <w:proofErr w:type="spellEnd"/>
      <w:r w:rsidRPr="00292037">
        <w:rPr>
          <w:rFonts w:ascii="Times New Roman" w:hAnsi="Times New Roman" w:cs="Times New Roman"/>
          <w:sz w:val="24"/>
          <w:szCs w:val="24"/>
          <w:shd w:val="clear" w:color="auto" w:fill="FFFFFF"/>
        </w:rPr>
        <w:t xml:space="preserve">, WP, Karimah, B., </w:t>
      </w:r>
      <w:proofErr w:type="spellStart"/>
      <w:r w:rsidRPr="00292037">
        <w:rPr>
          <w:rFonts w:ascii="Times New Roman" w:hAnsi="Times New Roman" w:cs="Times New Roman"/>
          <w:sz w:val="24"/>
          <w:szCs w:val="24"/>
          <w:shd w:val="clear" w:color="auto" w:fill="FFFFFF"/>
        </w:rPr>
        <w:t>Hidanah</w:t>
      </w:r>
      <w:proofErr w:type="spellEnd"/>
      <w:r w:rsidRPr="00292037">
        <w:rPr>
          <w:rFonts w:ascii="Times New Roman" w:hAnsi="Times New Roman" w:cs="Times New Roman"/>
          <w:sz w:val="24"/>
          <w:szCs w:val="24"/>
          <w:shd w:val="clear" w:color="auto" w:fill="FFFFFF"/>
        </w:rPr>
        <w:t xml:space="preserve">, S., Al-Arif, MA, </w:t>
      </w:r>
      <w:proofErr w:type="spellStart"/>
      <w:r w:rsidRPr="00292037">
        <w:rPr>
          <w:rFonts w:ascii="Times New Roman" w:hAnsi="Times New Roman" w:cs="Times New Roman"/>
          <w:sz w:val="24"/>
          <w:szCs w:val="24"/>
          <w:shd w:val="clear" w:color="auto" w:fill="FFFFFF"/>
        </w:rPr>
        <w:t>Soeharsono</w:t>
      </w:r>
      <w:proofErr w:type="spellEnd"/>
      <w:r w:rsidRPr="00292037">
        <w:rPr>
          <w:rFonts w:ascii="Times New Roman" w:hAnsi="Times New Roman" w:cs="Times New Roman"/>
          <w:sz w:val="24"/>
          <w:szCs w:val="24"/>
          <w:shd w:val="clear" w:color="auto" w:fill="FFFFFF"/>
        </w:rPr>
        <w:t xml:space="preserve">, NH, &amp; </w:t>
      </w:r>
      <w:proofErr w:type="spellStart"/>
      <w:r w:rsidRPr="00292037">
        <w:rPr>
          <w:rFonts w:ascii="Times New Roman" w:hAnsi="Times New Roman" w:cs="Times New Roman"/>
          <w:sz w:val="24"/>
          <w:szCs w:val="24"/>
          <w:shd w:val="clear" w:color="auto" w:fill="FFFFFF"/>
        </w:rPr>
        <w:t>Harijani</w:t>
      </w:r>
      <w:proofErr w:type="spellEnd"/>
      <w:r w:rsidRPr="00292037">
        <w:rPr>
          <w:rFonts w:ascii="Times New Roman" w:hAnsi="Times New Roman" w:cs="Times New Roman"/>
          <w:sz w:val="24"/>
          <w:szCs w:val="24"/>
          <w:shd w:val="clear" w:color="auto" w:fill="FFFFFF"/>
        </w:rPr>
        <w:t xml:space="preserve">, N. (2020). Effectiveness of probiotics lactobacillus casei and Lactobacillus </w:t>
      </w:r>
      <w:proofErr w:type="spellStart"/>
      <w:r w:rsidRPr="00292037">
        <w:rPr>
          <w:rFonts w:ascii="Times New Roman" w:hAnsi="Times New Roman" w:cs="Times New Roman"/>
          <w:sz w:val="24"/>
          <w:szCs w:val="24"/>
          <w:shd w:val="clear" w:color="auto" w:fill="FFFFFF"/>
        </w:rPr>
        <w:t>rhamnosus</w:t>
      </w:r>
      <w:proofErr w:type="spellEnd"/>
      <w:r w:rsidRPr="00292037">
        <w:rPr>
          <w:rFonts w:ascii="Times New Roman" w:hAnsi="Times New Roman" w:cs="Times New Roman"/>
          <w:sz w:val="24"/>
          <w:szCs w:val="24"/>
          <w:shd w:val="clear" w:color="auto" w:fill="FFFFFF"/>
        </w:rPr>
        <w:t xml:space="preserve"> as a substitute for antibiotic growth promoters on total cholesterol, low density lipoprotein and </w:t>
      </w:r>
      <w:proofErr w:type="gramStart"/>
      <w:r w:rsidRPr="00292037">
        <w:rPr>
          <w:rFonts w:ascii="Times New Roman" w:hAnsi="Times New Roman" w:cs="Times New Roman"/>
          <w:sz w:val="24"/>
          <w:szCs w:val="24"/>
          <w:shd w:val="clear" w:color="auto" w:fill="FFFFFF"/>
        </w:rPr>
        <w:t>high density</w:t>
      </w:r>
      <w:proofErr w:type="gramEnd"/>
      <w:r w:rsidRPr="00292037">
        <w:rPr>
          <w:rFonts w:ascii="Times New Roman" w:hAnsi="Times New Roman" w:cs="Times New Roman"/>
          <w:sz w:val="24"/>
          <w:szCs w:val="24"/>
          <w:shd w:val="clear" w:color="auto" w:fill="FFFFFF"/>
        </w:rPr>
        <w:t xml:space="preserve"> lipoprotein in Broiler Chickens. </w:t>
      </w:r>
      <w:r w:rsidRPr="00292037">
        <w:rPr>
          <w:rFonts w:ascii="Times New Roman" w:hAnsi="Times New Roman" w:cs="Times New Roman"/>
          <w:i/>
          <w:iCs/>
          <w:sz w:val="24"/>
          <w:szCs w:val="24"/>
          <w:shd w:val="clear" w:color="auto" w:fill="FFFFFF"/>
        </w:rPr>
        <w:t>Journal of Veterinary Medicine</w:t>
      </w:r>
      <w:r w:rsidRPr="00292037">
        <w:rPr>
          <w:rFonts w:ascii="Times New Roman" w:hAnsi="Times New Roman" w:cs="Times New Roman"/>
          <w:sz w:val="24"/>
          <w:szCs w:val="24"/>
          <w:shd w:val="clear" w:color="auto" w:fill="FFFFFF"/>
        </w:rPr>
        <w:t>, </w:t>
      </w:r>
      <w:r w:rsidRPr="00292037">
        <w:rPr>
          <w:rFonts w:ascii="Times New Roman" w:hAnsi="Times New Roman" w:cs="Times New Roman"/>
          <w:i/>
          <w:iCs/>
          <w:sz w:val="24"/>
          <w:szCs w:val="24"/>
          <w:shd w:val="clear" w:color="auto" w:fill="FFFFFF"/>
        </w:rPr>
        <w:t>3</w:t>
      </w:r>
      <w:r w:rsidRPr="00292037">
        <w:rPr>
          <w:rFonts w:ascii="Times New Roman" w:hAnsi="Times New Roman" w:cs="Times New Roman"/>
          <w:sz w:val="24"/>
          <w:szCs w:val="24"/>
          <w:shd w:val="clear" w:color="auto" w:fill="FFFFFF"/>
        </w:rPr>
        <w:t> (1), 114-122.</w:t>
      </w:r>
      <w:r w:rsidRPr="00780324">
        <w:rPr>
          <w:rFonts w:ascii="Times New Roman" w:hAnsi="Times New Roman" w:cs="Times New Roman"/>
          <w:sz w:val="24"/>
          <w:szCs w:val="24"/>
          <w:shd w:val="clear" w:color="auto" w:fill="FFFFFF"/>
          <w:lang w:val="en-US"/>
        </w:rPr>
        <w:t xml:space="preserve"> </w:t>
      </w:r>
      <w:hyperlink r:id="rId16" w:history="1">
        <w:r w:rsidRPr="00780324">
          <w:rPr>
            <w:rStyle w:val="Hyperlink"/>
            <w:rFonts w:ascii="Times New Roman" w:hAnsi="Times New Roman" w:cs="Times New Roman"/>
            <w:color w:val="auto"/>
            <w:sz w:val="24"/>
            <w:szCs w:val="24"/>
            <w:shd w:val="clear" w:color="auto" w:fill="FFFFFF"/>
            <w:lang w:val="en-US"/>
          </w:rPr>
          <w:t>https://doi.org/</w:t>
        </w:r>
        <w:r w:rsidRPr="00780324">
          <w:rPr>
            <w:rStyle w:val="Hyperlink"/>
            <w:rFonts w:ascii="Times New Roman" w:hAnsi="Times New Roman" w:cs="Times New Roman"/>
            <w:color w:val="auto"/>
            <w:sz w:val="24"/>
            <w:szCs w:val="24"/>
            <w:lang w:val="en-US"/>
          </w:rPr>
          <w:t>10.20473/jmv.vol3.iss1.2020.114-122</w:t>
        </w:r>
      </w:hyperlink>
      <w:r w:rsidRPr="00780324">
        <w:rPr>
          <w:rFonts w:ascii="Times New Roman" w:hAnsi="Times New Roman" w:cs="Times New Roman"/>
          <w:sz w:val="24"/>
          <w:szCs w:val="24"/>
          <w:lang w:val="en-US"/>
        </w:rPr>
        <w:t xml:space="preserve"> </w:t>
      </w:r>
    </w:p>
    <w:p w14:paraId="528DACF1" w14:textId="77777777" w:rsidR="00292037" w:rsidRPr="00292037" w:rsidRDefault="00292037" w:rsidP="00292037">
      <w:pPr>
        <w:spacing w:before="240" w:line="240" w:lineRule="auto"/>
        <w:ind w:left="851" w:hanging="851"/>
        <w:jc w:val="both"/>
        <w:rPr>
          <w:rFonts w:ascii="Times New Roman" w:hAnsi="Times New Roman" w:cs="Times New Roman"/>
          <w:sz w:val="24"/>
          <w:szCs w:val="24"/>
        </w:rPr>
      </w:pPr>
      <w:r w:rsidRPr="00292037">
        <w:rPr>
          <w:rFonts w:ascii="Times New Roman" w:hAnsi="Times New Roman" w:cs="Times New Roman"/>
          <w:sz w:val="24"/>
          <w:szCs w:val="24"/>
        </w:rPr>
        <w:t xml:space="preserve">AOAC. 2005. Official Methods of Analysis of the Association of Official Analytical Chemists. </w:t>
      </w:r>
      <w:r w:rsidRPr="00292037">
        <w:rPr>
          <w:rFonts w:ascii="Times New Roman" w:hAnsi="Times New Roman" w:cs="Times New Roman"/>
          <w:i/>
          <w:iCs/>
          <w:sz w:val="24"/>
          <w:szCs w:val="24"/>
        </w:rPr>
        <w:t>The Association of Official Analytical Chemist</w:t>
      </w:r>
      <w:r w:rsidRPr="00292037">
        <w:rPr>
          <w:rFonts w:ascii="Times New Roman" w:hAnsi="Times New Roman" w:cs="Times New Roman"/>
          <w:sz w:val="24"/>
          <w:szCs w:val="24"/>
        </w:rPr>
        <w:t xml:space="preserve">. Marlyand. </w:t>
      </w:r>
    </w:p>
    <w:p w14:paraId="2030787D" w14:textId="35073A69" w:rsidR="00292037" w:rsidRPr="00292037" w:rsidRDefault="00292037" w:rsidP="00BA2141">
      <w:pPr>
        <w:spacing w:before="240" w:line="240" w:lineRule="auto"/>
        <w:ind w:left="851" w:hanging="851"/>
        <w:jc w:val="both"/>
        <w:rPr>
          <w:rFonts w:ascii="Times New Roman" w:hAnsi="Times New Roman" w:cs="Times New Roman"/>
          <w:sz w:val="24"/>
          <w:szCs w:val="24"/>
        </w:rPr>
      </w:pPr>
      <w:proofErr w:type="spellStart"/>
      <w:r w:rsidRPr="00292037">
        <w:rPr>
          <w:rFonts w:ascii="Times New Roman" w:hAnsi="Times New Roman" w:cs="Times New Roman"/>
          <w:sz w:val="24"/>
          <w:szCs w:val="24"/>
          <w:shd w:val="clear" w:color="auto" w:fill="FFFFFF"/>
        </w:rPr>
        <w:t>Bahmid</w:t>
      </w:r>
      <w:proofErr w:type="spellEnd"/>
      <w:r w:rsidRPr="00292037">
        <w:rPr>
          <w:rFonts w:ascii="Times New Roman" w:hAnsi="Times New Roman" w:cs="Times New Roman"/>
          <w:sz w:val="24"/>
          <w:szCs w:val="24"/>
          <w:shd w:val="clear" w:color="auto" w:fill="FFFFFF"/>
        </w:rPr>
        <w:t xml:space="preserve">, N. A., Amriani, R., Andini, N. S., Apada, A. M. S., </w:t>
      </w:r>
      <w:proofErr w:type="spellStart"/>
      <w:r w:rsidRPr="00292037">
        <w:rPr>
          <w:rFonts w:ascii="Times New Roman" w:hAnsi="Times New Roman" w:cs="Times New Roman"/>
          <w:sz w:val="24"/>
          <w:szCs w:val="24"/>
          <w:shd w:val="clear" w:color="auto" w:fill="FFFFFF"/>
        </w:rPr>
        <w:t>Ardiansyah</w:t>
      </w:r>
      <w:proofErr w:type="spellEnd"/>
      <w:r w:rsidRPr="00292037">
        <w:rPr>
          <w:rFonts w:ascii="Times New Roman" w:hAnsi="Times New Roman" w:cs="Times New Roman"/>
          <w:sz w:val="24"/>
          <w:szCs w:val="24"/>
          <w:shd w:val="clear" w:color="auto" w:fill="FFFFFF"/>
        </w:rPr>
        <w:t xml:space="preserve">, M., &amp; Sari, D. K. (2025). Effect of </w:t>
      </w:r>
      <w:r w:rsidR="00780324" w:rsidRPr="00292037">
        <w:rPr>
          <w:rFonts w:ascii="Times New Roman" w:hAnsi="Times New Roman" w:cs="Times New Roman"/>
          <w:sz w:val="24"/>
          <w:szCs w:val="24"/>
          <w:shd w:val="clear" w:color="auto" w:fill="FFFFFF"/>
        </w:rPr>
        <w:t xml:space="preserve">probiotic supplementation on spermatozoa quality in male </w:t>
      </w:r>
      <w:proofErr w:type="spellStart"/>
      <w:r w:rsidR="00780324" w:rsidRPr="00292037">
        <w:rPr>
          <w:rFonts w:ascii="Times New Roman" w:hAnsi="Times New Roman" w:cs="Times New Roman"/>
          <w:sz w:val="24"/>
          <w:szCs w:val="24"/>
          <w:shd w:val="clear" w:color="auto" w:fill="FFFFFF"/>
        </w:rPr>
        <w:t>wistar</w:t>
      </w:r>
      <w:proofErr w:type="spellEnd"/>
      <w:r w:rsidR="00780324" w:rsidRPr="00292037">
        <w:rPr>
          <w:rFonts w:ascii="Times New Roman" w:hAnsi="Times New Roman" w:cs="Times New Roman"/>
          <w:sz w:val="24"/>
          <w:szCs w:val="24"/>
          <w:shd w:val="clear" w:color="auto" w:fill="FFFFFF"/>
        </w:rPr>
        <w:t xml:space="preserve"> rats fed a high-fat diet</w:t>
      </w:r>
      <w:r w:rsidRPr="00292037">
        <w:rPr>
          <w:rFonts w:ascii="Times New Roman" w:hAnsi="Times New Roman" w:cs="Times New Roman"/>
          <w:sz w:val="24"/>
          <w:szCs w:val="24"/>
          <w:shd w:val="clear" w:color="auto" w:fill="FFFFFF"/>
        </w:rPr>
        <w:t>. </w:t>
      </w:r>
      <w:r w:rsidRPr="00292037">
        <w:rPr>
          <w:rFonts w:ascii="Times New Roman" w:hAnsi="Times New Roman" w:cs="Times New Roman"/>
          <w:i/>
          <w:iCs/>
          <w:sz w:val="24"/>
          <w:szCs w:val="24"/>
          <w:shd w:val="clear" w:color="auto" w:fill="FFFFFF"/>
        </w:rPr>
        <w:t>International Journal of Agriculture and Biosciences</w:t>
      </w:r>
      <w:r w:rsidRPr="00292037">
        <w:rPr>
          <w:rFonts w:ascii="Times New Roman" w:hAnsi="Times New Roman" w:cs="Times New Roman"/>
          <w:sz w:val="24"/>
          <w:szCs w:val="24"/>
          <w:shd w:val="clear" w:color="auto" w:fill="FFFFFF"/>
        </w:rPr>
        <w:t>, </w:t>
      </w:r>
      <w:r w:rsidRPr="00292037">
        <w:rPr>
          <w:rFonts w:ascii="Times New Roman" w:hAnsi="Times New Roman" w:cs="Times New Roman"/>
          <w:i/>
          <w:iCs/>
          <w:sz w:val="24"/>
          <w:szCs w:val="24"/>
          <w:shd w:val="clear" w:color="auto" w:fill="FFFFFF"/>
        </w:rPr>
        <w:t>14</w:t>
      </w:r>
      <w:r w:rsidRPr="00292037">
        <w:rPr>
          <w:rFonts w:ascii="Times New Roman" w:hAnsi="Times New Roman" w:cs="Times New Roman"/>
          <w:sz w:val="24"/>
          <w:szCs w:val="24"/>
          <w:shd w:val="clear" w:color="auto" w:fill="FFFFFF"/>
        </w:rPr>
        <w:t xml:space="preserve">(5), 939-943. </w:t>
      </w:r>
      <w:hyperlink r:id="rId17" w:history="1">
        <w:r w:rsidRPr="00292037">
          <w:rPr>
            <w:rStyle w:val="Hyperlink"/>
            <w:rFonts w:ascii="Times New Roman" w:hAnsi="Times New Roman" w:cs="Times New Roman"/>
            <w:color w:val="auto"/>
            <w:sz w:val="24"/>
            <w:szCs w:val="24"/>
            <w:shd w:val="clear" w:color="auto" w:fill="FFFFFF"/>
          </w:rPr>
          <w:t>https://doi.org/10.47278/journal.ijab/2025.060</w:t>
        </w:r>
      </w:hyperlink>
      <w:r w:rsidRPr="00292037">
        <w:rPr>
          <w:rFonts w:ascii="Times New Roman" w:hAnsi="Times New Roman" w:cs="Times New Roman"/>
          <w:sz w:val="24"/>
          <w:szCs w:val="24"/>
          <w:shd w:val="clear" w:color="auto" w:fill="FFFFFF"/>
        </w:rPr>
        <w:t xml:space="preserve"> </w:t>
      </w:r>
    </w:p>
    <w:p w14:paraId="7E8B0C34" w14:textId="08A2AB56" w:rsidR="00292037" w:rsidRPr="00292037" w:rsidRDefault="00292037" w:rsidP="00BD6A42">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Bhattacharjee, M. K., Anees, M., &amp; Patel, A. (2018). Increased </w:t>
      </w:r>
      <w:r w:rsidR="00780324" w:rsidRPr="00292037">
        <w:rPr>
          <w:rFonts w:ascii="Times New Roman" w:eastAsia="Times New Roman" w:hAnsi="Times New Roman" w:cs="Times New Roman"/>
          <w:sz w:val="24"/>
          <w:szCs w:val="24"/>
          <w:lang w:eastAsia="en-ID"/>
        </w:rPr>
        <w:t>viability of sugar transport-deficient mutant of the periodontal pathogen</w:t>
      </w:r>
      <w:r w:rsidRPr="00292037">
        <w:rPr>
          <w:rFonts w:ascii="Times New Roman" w:eastAsia="Times New Roman" w:hAnsi="Times New Roman" w:cs="Times New Roman"/>
          <w:sz w:val="24"/>
          <w:szCs w:val="24"/>
          <w:lang w:eastAsia="en-ID"/>
        </w:rPr>
        <w:t xml:space="preserve">, </w:t>
      </w:r>
      <w:proofErr w:type="spellStart"/>
      <w:r w:rsidRPr="00780324">
        <w:rPr>
          <w:rFonts w:ascii="Times New Roman" w:eastAsia="Times New Roman" w:hAnsi="Times New Roman" w:cs="Times New Roman"/>
          <w:i/>
          <w:iCs/>
          <w:sz w:val="24"/>
          <w:szCs w:val="24"/>
          <w:lang w:eastAsia="en-ID"/>
        </w:rPr>
        <w:t>Aggregatibacter</w:t>
      </w:r>
      <w:proofErr w:type="spellEnd"/>
      <w:r w:rsidRPr="00780324">
        <w:rPr>
          <w:rFonts w:ascii="Times New Roman" w:eastAsia="Times New Roman" w:hAnsi="Times New Roman" w:cs="Times New Roman"/>
          <w:i/>
          <w:iCs/>
          <w:sz w:val="24"/>
          <w:szCs w:val="24"/>
          <w:lang w:eastAsia="en-ID"/>
        </w:rPr>
        <w:t xml:space="preserve"> </w:t>
      </w:r>
      <w:proofErr w:type="spellStart"/>
      <w:r w:rsidRPr="00780324">
        <w:rPr>
          <w:rFonts w:ascii="Times New Roman" w:eastAsia="Times New Roman" w:hAnsi="Times New Roman" w:cs="Times New Roman"/>
          <w:i/>
          <w:iCs/>
          <w:sz w:val="24"/>
          <w:szCs w:val="24"/>
          <w:lang w:eastAsia="en-ID"/>
        </w:rPr>
        <w:t>actinomycetemcomitans</w:t>
      </w:r>
      <w:proofErr w:type="spellEnd"/>
      <w:r w:rsidRPr="00292037">
        <w:rPr>
          <w:rFonts w:ascii="Times New Roman" w:eastAsia="Times New Roman" w:hAnsi="Times New Roman" w:cs="Times New Roman"/>
          <w:sz w:val="24"/>
          <w:szCs w:val="24"/>
          <w:lang w:eastAsia="en-ID"/>
        </w:rPr>
        <w:t xml:space="preserve">. </w:t>
      </w:r>
      <w:r w:rsidRPr="00292037">
        <w:rPr>
          <w:rFonts w:ascii="Times New Roman" w:eastAsia="Times New Roman" w:hAnsi="Times New Roman" w:cs="Times New Roman"/>
          <w:i/>
          <w:iCs/>
          <w:sz w:val="24"/>
          <w:szCs w:val="24"/>
          <w:lang w:eastAsia="en-ID"/>
        </w:rPr>
        <w:t>Current Microbiology</w:t>
      </w:r>
      <w:r w:rsidRPr="00292037">
        <w:rPr>
          <w:rFonts w:ascii="Times New Roman" w:eastAsia="Times New Roman" w:hAnsi="Times New Roman" w:cs="Times New Roman"/>
          <w:sz w:val="24"/>
          <w:szCs w:val="24"/>
          <w:lang w:eastAsia="en-ID"/>
        </w:rPr>
        <w:t xml:space="preserve">, </w:t>
      </w:r>
      <w:r w:rsidRPr="00292037">
        <w:rPr>
          <w:rFonts w:ascii="Times New Roman" w:eastAsia="Times New Roman" w:hAnsi="Times New Roman" w:cs="Times New Roman"/>
          <w:i/>
          <w:iCs/>
          <w:sz w:val="24"/>
          <w:szCs w:val="24"/>
          <w:lang w:eastAsia="en-ID"/>
        </w:rPr>
        <w:t>75</w:t>
      </w:r>
      <w:r w:rsidRPr="00292037">
        <w:rPr>
          <w:rFonts w:ascii="Times New Roman" w:eastAsia="Times New Roman" w:hAnsi="Times New Roman" w:cs="Times New Roman"/>
          <w:sz w:val="24"/>
          <w:szCs w:val="24"/>
          <w:lang w:eastAsia="en-ID"/>
        </w:rPr>
        <w:t xml:space="preserve">(11), 1460–1467. </w:t>
      </w:r>
      <w:hyperlink r:id="rId18" w:history="1">
        <w:r w:rsidRPr="00292037">
          <w:rPr>
            <w:rStyle w:val="Hyperlink"/>
            <w:rFonts w:ascii="Times New Roman" w:eastAsia="Times New Roman" w:hAnsi="Times New Roman" w:cs="Times New Roman"/>
            <w:color w:val="auto"/>
            <w:sz w:val="24"/>
            <w:szCs w:val="24"/>
            <w:lang w:eastAsia="en-ID"/>
          </w:rPr>
          <w:t>https://doi.org/10.1007/S00284-018-1545-6</w:t>
        </w:r>
      </w:hyperlink>
    </w:p>
    <w:p w14:paraId="37601AF5" w14:textId="77777777" w:rsidR="00292037" w:rsidRPr="00780324" w:rsidRDefault="00292037" w:rsidP="00BA2141">
      <w:pPr>
        <w:spacing w:before="240" w:line="240" w:lineRule="auto"/>
        <w:ind w:left="851" w:hanging="851"/>
        <w:jc w:val="both"/>
        <w:rPr>
          <w:rFonts w:ascii="Times New Roman" w:eastAsia="Times New Roman" w:hAnsi="Times New Roman" w:cs="Times New Roman"/>
          <w:sz w:val="24"/>
          <w:szCs w:val="24"/>
          <w:lang w:val="en-US" w:eastAsia="en-ID"/>
        </w:rPr>
      </w:pPr>
      <w:r w:rsidRPr="00292037">
        <w:rPr>
          <w:rFonts w:ascii="Times New Roman" w:hAnsi="Times New Roman" w:cs="Times New Roman"/>
          <w:sz w:val="24"/>
          <w:szCs w:val="24"/>
        </w:rPr>
        <w:t xml:space="preserve">Coniglio MV, Luna MJ, </w:t>
      </w:r>
      <w:proofErr w:type="spellStart"/>
      <w:r w:rsidRPr="00292037">
        <w:rPr>
          <w:rFonts w:ascii="Times New Roman" w:hAnsi="Times New Roman" w:cs="Times New Roman"/>
          <w:sz w:val="24"/>
          <w:szCs w:val="24"/>
        </w:rPr>
        <w:t>Provensal</w:t>
      </w:r>
      <w:proofErr w:type="spellEnd"/>
      <w:r w:rsidRPr="00292037">
        <w:rPr>
          <w:rFonts w:ascii="Times New Roman" w:hAnsi="Times New Roman" w:cs="Times New Roman"/>
          <w:sz w:val="24"/>
          <w:szCs w:val="24"/>
        </w:rPr>
        <w:t xml:space="preserve"> P, Watson S, Ortiz ME, Ludueña HR, </w:t>
      </w:r>
      <w:proofErr w:type="spellStart"/>
      <w:r w:rsidRPr="00292037">
        <w:rPr>
          <w:rFonts w:ascii="Times New Roman" w:hAnsi="Times New Roman" w:cs="Times New Roman"/>
          <w:sz w:val="24"/>
          <w:szCs w:val="24"/>
        </w:rPr>
        <w:t>Cavaglieri</w:t>
      </w:r>
      <w:proofErr w:type="spellEnd"/>
      <w:r w:rsidRPr="00292037">
        <w:rPr>
          <w:rFonts w:ascii="Times New Roman" w:hAnsi="Times New Roman" w:cs="Times New Roman"/>
          <w:sz w:val="24"/>
          <w:szCs w:val="24"/>
        </w:rPr>
        <w:t xml:space="preserve"> L and Magnoli AP, 2023. Use of the probiotic Saccharomyces cerevisiae var. </w:t>
      </w:r>
      <w:proofErr w:type="spellStart"/>
      <w:r w:rsidRPr="00292037">
        <w:rPr>
          <w:rFonts w:ascii="Times New Roman" w:hAnsi="Times New Roman" w:cs="Times New Roman"/>
          <w:sz w:val="24"/>
          <w:szCs w:val="24"/>
        </w:rPr>
        <w:t>boulardii</w:t>
      </w:r>
      <w:proofErr w:type="spellEnd"/>
      <w:r w:rsidRPr="00292037">
        <w:rPr>
          <w:rFonts w:ascii="Times New Roman" w:hAnsi="Times New Roman" w:cs="Times New Roman"/>
          <w:sz w:val="24"/>
          <w:szCs w:val="24"/>
        </w:rPr>
        <w:t xml:space="preserve"> RC009 in the rearing stage of calves. </w:t>
      </w:r>
      <w:r w:rsidRPr="00292037">
        <w:rPr>
          <w:rFonts w:ascii="Times New Roman" w:hAnsi="Times New Roman" w:cs="Times New Roman"/>
          <w:i/>
          <w:iCs/>
          <w:sz w:val="24"/>
          <w:szCs w:val="24"/>
          <w:shd w:val="clear" w:color="auto" w:fill="FFFFFF"/>
        </w:rPr>
        <w:t>International Journal of Agriculture and Biosciences</w:t>
      </w:r>
      <w:r w:rsidRPr="00780324">
        <w:rPr>
          <w:rFonts w:ascii="Times New Roman" w:hAnsi="Times New Roman" w:cs="Times New Roman"/>
          <w:sz w:val="24"/>
          <w:szCs w:val="24"/>
          <w:lang w:val="en-US"/>
        </w:rPr>
        <w:t xml:space="preserve">, 12(3): 188-192. </w:t>
      </w:r>
      <w:hyperlink r:id="rId19" w:history="1">
        <w:r w:rsidRPr="00780324">
          <w:rPr>
            <w:rStyle w:val="Hyperlink"/>
            <w:rFonts w:ascii="Times New Roman" w:hAnsi="Times New Roman" w:cs="Times New Roman"/>
            <w:color w:val="auto"/>
            <w:sz w:val="24"/>
            <w:szCs w:val="24"/>
            <w:lang w:val="en-US"/>
          </w:rPr>
          <w:t>https://doi.org/10.47278/journal.ijab/2023.063</w:t>
        </w:r>
      </w:hyperlink>
      <w:r w:rsidRPr="00780324">
        <w:rPr>
          <w:rFonts w:ascii="Times New Roman" w:eastAsia="Times New Roman" w:hAnsi="Times New Roman" w:cs="Times New Roman"/>
          <w:sz w:val="24"/>
          <w:szCs w:val="24"/>
          <w:lang w:val="en-US" w:eastAsia="en-ID"/>
        </w:rPr>
        <w:t xml:space="preserve">  </w:t>
      </w:r>
    </w:p>
    <w:p w14:paraId="7CF6EA6A" w14:textId="77777777" w:rsidR="00292037" w:rsidRPr="00292037" w:rsidRDefault="00292037" w:rsidP="00292037">
      <w:pPr>
        <w:spacing w:before="240" w:line="240" w:lineRule="auto"/>
        <w:ind w:left="851" w:hanging="851"/>
        <w:jc w:val="both"/>
        <w:rPr>
          <w:rStyle w:val="Hyperlink"/>
          <w:rFonts w:ascii="Times New Roman" w:eastAsia="Times New Roman" w:hAnsi="Times New Roman" w:cs="Times New Roman"/>
          <w:color w:val="auto"/>
          <w:sz w:val="24"/>
          <w:szCs w:val="24"/>
          <w:lang w:eastAsia="en-ID"/>
        </w:rPr>
      </w:pPr>
      <w:r w:rsidRPr="00780324">
        <w:rPr>
          <w:rFonts w:ascii="Times New Roman" w:eastAsia="Times New Roman" w:hAnsi="Times New Roman" w:cs="Times New Roman"/>
          <w:sz w:val="24"/>
          <w:szCs w:val="24"/>
          <w:lang w:val="pt-BR" w:eastAsia="en-ID"/>
        </w:rPr>
        <w:t xml:space="preserve">de Carvalho, B. T., Subotić, A., Vandecruys, P., Deleu, S., Vermeire, S., &amp; Thevelein, J. M. (2024). </w:t>
      </w:r>
      <w:r w:rsidRPr="00292037">
        <w:rPr>
          <w:rFonts w:ascii="Times New Roman" w:eastAsia="Times New Roman" w:hAnsi="Times New Roman" w:cs="Times New Roman"/>
          <w:sz w:val="24"/>
          <w:szCs w:val="24"/>
          <w:lang w:eastAsia="en-ID"/>
        </w:rPr>
        <w:t xml:space="preserve">Enhancing probiotic impact: engineering Saccharomyces </w:t>
      </w:r>
      <w:proofErr w:type="spellStart"/>
      <w:r w:rsidRPr="00292037">
        <w:rPr>
          <w:rFonts w:ascii="Times New Roman" w:eastAsia="Times New Roman" w:hAnsi="Times New Roman" w:cs="Times New Roman"/>
          <w:sz w:val="24"/>
          <w:szCs w:val="24"/>
          <w:lang w:eastAsia="en-ID"/>
        </w:rPr>
        <w:t>boulardii</w:t>
      </w:r>
      <w:proofErr w:type="spellEnd"/>
      <w:r w:rsidRPr="00292037">
        <w:rPr>
          <w:rFonts w:ascii="Times New Roman" w:eastAsia="Times New Roman" w:hAnsi="Times New Roman" w:cs="Times New Roman"/>
          <w:sz w:val="24"/>
          <w:szCs w:val="24"/>
          <w:lang w:eastAsia="en-ID"/>
        </w:rPr>
        <w:t xml:space="preserve"> for optimal acetic acid production and gastric passage tolerance. </w:t>
      </w:r>
      <w:r w:rsidRPr="00292037">
        <w:rPr>
          <w:rFonts w:ascii="Times New Roman" w:eastAsia="Times New Roman" w:hAnsi="Times New Roman" w:cs="Times New Roman"/>
          <w:i/>
          <w:iCs/>
          <w:sz w:val="24"/>
          <w:szCs w:val="24"/>
          <w:lang w:eastAsia="en-ID"/>
        </w:rPr>
        <w:t xml:space="preserve">Applied and </w:t>
      </w:r>
      <w:r w:rsidRPr="00292037">
        <w:rPr>
          <w:rFonts w:ascii="Times New Roman" w:eastAsia="Times New Roman" w:hAnsi="Times New Roman" w:cs="Times New Roman"/>
          <w:i/>
          <w:iCs/>
          <w:sz w:val="24"/>
          <w:szCs w:val="24"/>
          <w:lang w:eastAsia="en-ID"/>
        </w:rPr>
        <w:lastRenderedPageBreak/>
        <w:t>Environmental Microbiology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90</w:t>
      </w:r>
      <w:r w:rsidRPr="00292037">
        <w:rPr>
          <w:rFonts w:ascii="Times New Roman" w:eastAsia="Times New Roman" w:hAnsi="Times New Roman" w:cs="Times New Roman"/>
          <w:sz w:val="24"/>
          <w:szCs w:val="24"/>
          <w:lang w:eastAsia="en-ID"/>
        </w:rPr>
        <w:t xml:space="preserve">(6), e00325-24. </w:t>
      </w:r>
      <w:hyperlink r:id="rId20" w:history="1">
        <w:r w:rsidRPr="00292037">
          <w:rPr>
            <w:rStyle w:val="Hyperlink"/>
            <w:rFonts w:ascii="Times New Roman" w:eastAsia="Times New Roman" w:hAnsi="Times New Roman" w:cs="Times New Roman"/>
            <w:color w:val="auto"/>
            <w:sz w:val="24"/>
            <w:szCs w:val="24"/>
            <w:lang w:eastAsia="en-ID"/>
          </w:rPr>
          <w:t>https://doi.org/10.1128/aem.00325-24</w:t>
        </w:r>
      </w:hyperlink>
    </w:p>
    <w:p w14:paraId="278BD44D" w14:textId="3445B13C" w:rsidR="00292037" w:rsidRPr="00780324" w:rsidRDefault="00292037" w:rsidP="00904043">
      <w:pPr>
        <w:spacing w:before="240" w:line="240" w:lineRule="auto"/>
        <w:ind w:left="851" w:hanging="851"/>
        <w:jc w:val="both"/>
        <w:rPr>
          <w:rFonts w:ascii="Times New Roman" w:eastAsia="Times New Roman" w:hAnsi="Times New Roman" w:cs="Times New Roman"/>
          <w:sz w:val="24"/>
          <w:szCs w:val="24"/>
          <w:lang w:val="en-US" w:eastAsia="en-ID"/>
        </w:rPr>
      </w:pPr>
      <w:r w:rsidRPr="00292037">
        <w:rPr>
          <w:rFonts w:ascii="Times New Roman" w:eastAsia="Times New Roman" w:hAnsi="Times New Roman" w:cs="Times New Roman"/>
          <w:sz w:val="24"/>
          <w:szCs w:val="24"/>
          <w:lang w:eastAsia="en-ID"/>
        </w:rPr>
        <w:t xml:space="preserve">Dewi, PS, &amp; </w:t>
      </w:r>
      <w:proofErr w:type="spellStart"/>
      <w:r w:rsidRPr="00292037">
        <w:rPr>
          <w:rFonts w:ascii="Times New Roman" w:eastAsia="Times New Roman" w:hAnsi="Times New Roman" w:cs="Times New Roman"/>
          <w:sz w:val="24"/>
          <w:szCs w:val="24"/>
          <w:lang w:eastAsia="en-ID"/>
        </w:rPr>
        <w:t>Rasmiyana</w:t>
      </w:r>
      <w:proofErr w:type="spellEnd"/>
      <w:r w:rsidRPr="00292037">
        <w:rPr>
          <w:rFonts w:ascii="Times New Roman" w:eastAsia="Times New Roman" w:hAnsi="Times New Roman" w:cs="Times New Roman"/>
          <w:sz w:val="24"/>
          <w:szCs w:val="24"/>
          <w:lang w:eastAsia="en-ID"/>
        </w:rPr>
        <w:t xml:space="preserve">, R. (2025). Sugarcane Molasses: Composition, </w:t>
      </w:r>
      <w:r w:rsidR="00780324" w:rsidRPr="00292037">
        <w:rPr>
          <w:rFonts w:ascii="Times New Roman" w:eastAsia="Times New Roman" w:hAnsi="Times New Roman" w:cs="Times New Roman"/>
          <w:sz w:val="24"/>
          <w:szCs w:val="24"/>
          <w:lang w:eastAsia="en-ID"/>
        </w:rPr>
        <w:t>challenges, and utilization as an economically valuable raw material: a literature review of sugarcane molasses: composition, challenges, and utilization as an economically valuable raw material</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 xml:space="preserve">Journal of Food Technology and </w:t>
      </w:r>
      <w:proofErr w:type="gramStart"/>
      <w:r w:rsidRPr="00292037">
        <w:rPr>
          <w:rFonts w:ascii="Times New Roman" w:eastAsia="Times New Roman" w:hAnsi="Times New Roman" w:cs="Times New Roman"/>
          <w:i/>
          <w:iCs/>
          <w:sz w:val="24"/>
          <w:szCs w:val="24"/>
          <w:lang w:eastAsia="en-ID"/>
        </w:rPr>
        <w:t>Quality</w:t>
      </w:r>
      <w:r w:rsidRPr="00292037">
        <w:rPr>
          <w:rFonts w:ascii="Times New Roman" w:eastAsia="Times New Roman" w:hAnsi="Times New Roman" w:cs="Times New Roman"/>
          <w:sz w:val="24"/>
          <w:szCs w:val="24"/>
          <w:lang w:eastAsia="en-ID"/>
        </w:rPr>
        <w:t> ,</w:t>
      </w:r>
      <w:proofErr w:type="gramEnd"/>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4</w:t>
      </w:r>
      <w:r w:rsidRPr="00292037">
        <w:rPr>
          <w:rFonts w:ascii="Times New Roman" w:eastAsia="Times New Roman" w:hAnsi="Times New Roman" w:cs="Times New Roman"/>
          <w:sz w:val="24"/>
          <w:szCs w:val="24"/>
          <w:lang w:eastAsia="en-ID"/>
        </w:rPr>
        <w:t xml:space="preserve"> (1), 1-9. </w:t>
      </w:r>
      <w:hyperlink r:id="rId21" w:history="1">
        <w:r w:rsidRPr="00780324">
          <w:rPr>
            <w:rStyle w:val="Hyperlink"/>
            <w:rFonts w:ascii="Times New Roman" w:eastAsia="Times New Roman" w:hAnsi="Times New Roman" w:cs="Times New Roman"/>
            <w:color w:val="auto"/>
            <w:sz w:val="24"/>
            <w:szCs w:val="24"/>
            <w:lang w:val="en-US" w:eastAsia="en-ID"/>
          </w:rPr>
          <w:t>https://doi.org/10.30812/jtmp.v4i1.4764</w:t>
        </w:r>
      </w:hyperlink>
    </w:p>
    <w:p w14:paraId="3A5C681D" w14:textId="7777777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17451F">
        <w:rPr>
          <w:rFonts w:ascii="Times New Roman" w:eastAsia="Times New Roman" w:hAnsi="Times New Roman" w:cs="Times New Roman"/>
          <w:sz w:val="24"/>
          <w:szCs w:val="24"/>
          <w:lang w:val="pt-BR" w:eastAsia="en-ID"/>
        </w:rPr>
        <w:t xml:space="preserve">Dudek, K., Guzmán, C. L. Á., &amp; Valdez-Vazquez, I. (2024). </w:t>
      </w:r>
      <w:r w:rsidRPr="00292037">
        <w:rPr>
          <w:rFonts w:ascii="Times New Roman" w:eastAsia="Times New Roman" w:hAnsi="Times New Roman" w:cs="Times New Roman"/>
          <w:sz w:val="24"/>
          <w:szCs w:val="24"/>
          <w:lang w:eastAsia="en-ID"/>
        </w:rPr>
        <w:t>Microbial activity of lactic acid bacteria and hydrogen producers mediated by pH and total solids during the consolidated bioprocessing of agave bagasse. </w:t>
      </w:r>
      <w:r w:rsidRPr="00292037">
        <w:rPr>
          <w:rFonts w:ascii="Times New Roman" w:eastAsia="Times New Roman" w:hAnsi="Times New Roman" w:cs="Times New Roman"/>
          <w:i/>
          <w:iCs/>
          <w:sz w:val="24"/>
          <w:szCs w:val="24"/>
          <w:lang w:eastAsia="en-ID"/>
        </w:rPr>
        <w:t>World Journal of Microbiology and Biotechnology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40</w:t>
      </w:r>
      <w:r w:rsidRPr="00292037">
        <w:rPr>
          <w:rFonts w:ascii="Times New Roman" w:eastAsia="Times New Roman" w:hAnsi="Times New Roman" w:cs="Times New Roman"/>
          <w:sz w:val="24"/>
          <w:szCs w:val="24"/>
          <w:lang w:eastAsia="en-ID"/>
        </w:rPr>
        <w:t xml:space="preserve">(2), 70. </w:t>
      </w:r>
      <w:hyperlink r:id="rId22" w:history="1">
        <w:r w:rsidRPr="00292037">
          <w:rPr>
            <w:rStyle w:val="Hyperlink"/>
            <w:rFonts w:ascii="Times New Roman" w:eastAsia="Times New Roman" w:hAnsi="Times New Roman" w:cs="Times New Roman"/>
            <w:color w:val="auto"/>
            <w:sz w:val="24"/>
            <w:szCs w:val="24"/>
            <w:lang w:eastAsia="en-ID"/>
          </w:rPr>
          <w:t>https://doi.org/10.1007/s11274-024-03888-1</w:t>
        </w:r>
      </w:hyperlink>
      <w:r w:rsidRPr="00292037">
        <w:rPr>
          <w:rFonts w:ascii="Times New Roman" w:eastAsia="Times New Roman" w:hAnsi="Times New Roman" w:cs="Times New Roman"/>
          <w:sz w:val="24"/>
          <w:szCs w:val="24"/>
          <w:lang w:eastAsia="en-ID"/>
        </w:rPr>
        <w:t xml:space="preserve"> </w:t>
      </w:r>
    </w:p>
    <w:p w14:paraId="0612E7B9" w14:textId="7777777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780324">
        <w:rPr>
          <w:rFonts w:ascii="Times New Roman" w:eastAsia="Times New Roman" w:hAnsi="Times New Roman" w:cs="Times New Roman"/>
          <w:sz w:val="24"/>
          <w:szCs w:val="24"/>
          <w:lang w:val="sv-SE" w:eastAsia="en-ID"/>
        </w:rPr>
        <w:t xml:space="preserve">El Asri, O., &amp; Farag, M. A. (2023). </w:t>
      </w:r>
      <w:r w:rsidRPr="00292037">
        <w:rPr>
          <w:rFonts w:ascii="Times New Roman" w:eastAsia="Times New Roman" w:hAnsi="Times New Roman" w:cs="Times New Roman"/>
          <w:sz w:val="24"/>
          <w:szCs w:val="24"/>
          <w:lang w:eastAsia="en-ID"/>
        </w:rPr>
        <w:t>The potential of molasses from different dietary sources in industrial applications: A source of functional compounds and health attributes, a comprehensive review. </w:t>
      </w:r>
      <w:r w:rsidRPr="00292037">
        <w:rPr>
          <w:rFonts w:ascii="Times New Roman" w:eastAsia="Times New Roman" w:hAnsi="Times New Roman" w:cs="Times New Roman"/>
          <w:i/>
          <w:iCs/>
          <w:sz w:val="24"/>
          <w:szCs w:val="24"/>
          <w:lang w:eastAsia="en-ID"/>
        </w:rPr>
        <w:t>Food Bioscience</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56</w:t>
      </w:r>
      <w:r w:rsidRPr="00292037">
        <w:rPr>
          <w:rFonts w:ascii="Times New Roman" w:eastAsia="Times New Roman" w:hAnsi="Times New Roman" w:cs="Times New Roman"/>
          <w:sz w:val="24"/>
          <w:szCs w:val="24"/>
          <w:lang w:eastAsia="en-ID"/>
        </w:rPr>
        <w:t xml:space="preserve">, 103263. </w:t>
      </w:r>
      <w:hyperlink r:id="rId23" w:history="1">
        <w:r w:rsidRPr="00292037">
          <w:rPr>
            <w:rStyle w:val="Hyperlink"/>
            <w:rFonts w:ascii="Times New Roman" w:eastAsia="Times New Roman" w:hAnsi="Times New Roman" w:cs="Times New Roman"/>
            <w:color w:val="auto"/>
            <w:sz w:val="24"/>
            <w:szCs w:val="24"/>
            <w:lang w:eastAsia="en-ID"/>
          </w:rPr>
          <w:t>https://doi.org/10.1016/j.fbio.2023.103263</w:t>
        </w:r>
      </w:hyperlink>
      <w:r w:rsidRPr="00292037">
        <w:rPr>
          <w:rFonts w:ascii="Times New Roman" w:eastAsia="Times New Roman" w:hAnsi="Times New Roman" w:cs="Times New Roman"/>
          <w:sz w:val="24"/>
          <w:szCs w:val="24"/>
          <w:lang w:eastAsia="en-ID"/>
        </w:rPr>
        <w:t xml:space="preserve"> </w:t>
      </w:r>
    </w:p>
    <w:p w14:paraId="1E5046C0" w14:textId="77777777" w:rsidR="00292037" w:rsidRPr="00292037" w:rsidRDefault="00292037" w:rsidP="00292037">
      <w:pPr>
        <w:spacing w:before="240" w:line="240" w:lineRule="auto"/>
        <w:ind w:left="851" w:hanging="851"/>
        <w:jc w:val="both"/>
        <w:rPr>
          <w:rStyle w:val="Hyperlink"/>
          <w:rFonts w:ascii="Times New Roman" w:hAnsi="Times New Roman" w:cs="Times New Roman"/>
          <w:color w:val="auto"/>
          <w:sz w:val="24"/>
          <w:szCs w:val="24"/>
        </w:rPr>
      </w:pPr>
      <w:r w:rsidRPr="00292037">
        <w:rPr>
          <w:rFonts w:ascii="Times New Roman" w:hAnsi="Times New Roman" w:cs="Times New Roman"/>
          <w:sz w:val="24"/>
          <w:szCs w:val="24"/>
        </w:rPr>
        <w:t>El-</w:t>
      </w:r>
      <w:proofErr w:type="spellStart"/>
      <w:r w:rsidRPr="00292037">
        <w:rPr>
          <w:rFonts w:ascii="Times New Roman" w:hAnsi="Times New Roman" w:cs="Times New Roman"/>
          <w:sz w:val="24"/>
          <w:szCs w:val="24"/>
        </w:rPr>
        <w:t>Tarabily</w:t>
      </w:r>
      <w:proofErr w:type="spellEnd"/>
      <w:r w:rsidRPr="00292037">
        <w:rPr>
          <w:rFonts w:ascii="Times New Roman" w:hAnsi="Times New Roman" w:cs="Times New Roman"/>
          <w:sz w:val="24"/>
          <w:szCs w:val="24"/>
        </w:rPr>
        <w:t>, K. A., &amp; Sivasithamparam, K. (2006). Non-streptomycete actinomycetes as biocontrol agents of soil-borne fungal plant pathogens and as plant growth promoters. </w:t>
      </w:r>
      <w:r w:rsidRPr="00292037">
        <w:rPr>
          <w:rFonts w:ascii="Times New Roman" w:hAnsi="Times New Roman" w:cs="Times New Roman"/>
          <w:i/>
          <w:iCs/>
          <w:sz w:val="24"/>
          <w:szCs w:val="24"/>
        </w:rPr>
        <w:t>Soil Biology and Biochemistry</w:t>
      </w:r>
      <w:r w:rsidRPr="00292037">
        <w:rPr>
          <w:rFonts w:ascii="Times New Roman" w:hAnsi="Times New Roman" w:cs="Times New Roman"/>
          <w:sz w:val="24"/>
          <w:szCs w:val="24"/>
        </w:rPr>
        <w:t>, </w:t>
      </w:r>
      <w:r w:rsidRPr="00292037">
        <w:rPr>
          <w:rFonts w:ascii="Times New Roman" w:hAnsi="Times New Roman" w:cs="Times New Roman"/>
          <w:i/>
          <w:iCs/>
          <w:sz w:val="24"/>
          <w:szCs w:val="24"/>
        </w:rPr>
        <w:t>38</w:t>
      </w:r>
      <w:r w:rsidRPr="00292037">
        <w:rPr>
          <w:rFonts w:ascii="Times New Roman" w:hAnsi="Times New Roman" w:cs="Times New Roman"/>
          <w:sz w:val="24"/>
          <w:szCs w:val="24"/>
        </w:rPr>
        <w:t xml:space="preserve">(7), 1505-1520. </w:t>
      </w:r>
      <w:hyperlink r:id="rId24" w:history="1">
        <w:r w:rsidRPr="00292037">
          <w:rPr>
            <w:rStyle w:val="Hyperlink"/>
            <w:rFonts w:ascii="Times New Roman" w:hAnsi="Times New Roman" w:cs="Times New Roman"/>
            <w:color w:val="auto"/>
            <w:sz w:val="24"/>
            <w:szCs w:val="24"/>
          </w:rPr>
          <w:t>https://doi.org/10.1016/j.soilbio.2005.12.017\</w:t>
        </w:r>
      </w:hyperlink>
    </w:p>
    <w:p w14:paraId="08B7037A" w14:textId="785A4577" w:rsidR="00292037" w:rsidRPr="00780324" w:rsidRDefault="00292037">
      <w:pPr>
        <w:spacing w:before="240" w:line="240" w:lineRule="auto"/>
        <w:ind w:left="851" w:hanging="851"/>
        <w:jc w:val="both"/>
        <w:rPr>
          <w:rFonts w:asciiTheme="majorBidi" w:eastAsia="Times New Roman" w:hAnsiTheme="majorBidi" w:cstheme="majorBidi"/>
          <w:sz w:val="24"/>
          <w:szCs w:val="24"/>
          <w:lang w:val="sv-SE" w:eastAsia="en-ID"/>
        </w:rPr>
      </w:pPr>
      <w:proofErr w:type="spellStart"/>
      <w:r w:rsidRPr="00292037">
        <w:rPr>
          <w:rFonts w:asciiTheme="majorBidi" w:eastAsia="Times New Roman" w:hAnsiTheme="majorBidi" w:cstheme="majorBidi"/>
          <w:sz w:val="24"/>
          <w:szCs w:val="24"/>
          <w:lang w:eastAsia="en-ID"/>
        </w:rPr>
        <w:t>Fassah</w:t>
      </w:r>
      <w:proofErr w:type="spellEnd"/>
      <w:r w:rsidRPr="00292037">
        <w:rPr>
          <w:rFonts w:asciiTheme="majorBidi" w:eastAsia="Times New Roman" w:hAnsiTheme="majorBidi" w:cstheme="majorBidi"/>
          <w:sz w:val="24"/>
          <w:szCs w:val="24"/>
          <w:lang w:eastAsia="en-ID"/>
        </w:rPr>
        <w:t xml:space="preserve">, D. M., Hairani, A., </w:t>
      </w:r>
      <w:proofErr w:type="spellStart"/>
      <w:r w:rsidRPr="00292037">
        <w:rPr>
          <w:rFonts w:asciiTheme="majorBidi" w:eastAsia="Times New Roman" w:hAnsiTheme="majorBidi" w:cstheme="majorBidi"/>
          <w:sz w:val="24"/>
          <w:szCs w:val="24"/>
          <w:lang w:eastAsia="en-ID"/>
        </w:rPr>
        <w:t>Meryandini</w:t>
      </w:r>
      <w:proofErr w:type="spellEnd"/>
      <w:r w:rsidRPr="00292037">
        <w:rPr>
          <w:rFonts w:asciiTheme="majorBidi" w:eastAsia="Times New Roman" w:hAnsiTheme="majorBidi" w:cstheme="majorBidi"/>
          <w:sz w:val="24"/>
          <w:szCs w:val="24"/>
          <w:lang w:eastAsia="en-ID"/>
        </w:rPr>
        <w:t xml:space="preserve">, A., Astuti, D. A., &amp; </w:t>
      </w:r>
      <w:proofErr w:type="spellStart"/>
      <w:r w:rsidRPr="00292037">
        <w:rPr>
          <w:rFonts w:asciiTheme="majorBidi" w:eastAsia="Times New Roman" w:hAnsiTheme="majorBidi" w:cstheme="majorBidi"/>
          <w:sz w:val="24"/>
          <w:szCs w:val="24"/>
          <w:lang w:eastAsia="en-ID"/>
        </w:rPr>
        <w:t>Wiryawan</w:t>
      </w:r>
      <w:proofErr w:type="spellEnd"/>
      <w:r w:rsidRPr="00292037">
        <w:rPr>
          <w:rFonts w:asciiTheme="majorBidi" w:eastAsia="Times New Roman" w:hAnsiTheme="majorBidi" w:cstheme="majorBidi"/>
          <w:sz w:val="24"/>
          <w:szCs w:val="24"/>
          <w:lang w:eastAsia="en-ID"/>
        </w:rPr>
        <w:t>, I. K. G. (2024).</w:t>
      </w:r>
      <w:r w:rsidRPr="00292037">
        <w:rPr>
          <w:rFonts w:asciiTheme="majorBidi" w:hAnsiTheme="majorBidi" w:cstheme="majorBidi"/>
          <w:sz w:val="24"/>
          <w:szCs w:val="24"/>
        </w:rPr>
        <w:t xml:space="preserve"> Shelf </w:t>
      </w:r>
      <w:r w:rsidR="00780324" w:rsidRPr="00292037">
        <w:rPr>
          <w:rFonts w:asciiTheme="majorBidi" w:hAnsiTheme="majorBidi" w:cstheme="majorBidi"/>
          <w:sz w:val="24"/>
          <w:szCs w:val="24"/>
        </w:rPr>
        <w:t>life of encapsulated lactic acid bacteria probiotics derived from black soldier fly larvae</w:t>
      </w:r>
      <w:r w:rsidRPr="00292037">
        <w:rPr>
          <w:rFonts w:asciiTheme="majorBidi" w:eastAsia="Times New Roman" w:hAnsiTheme="majorBidi" w:cstheme="majorBidi"/>
          <w:sz w:val="24"/>
          <w:szCs w:val="24"/>
          <w:lang w:eastAsia="en-ID"/>
        </w:rPr>
        <w:t xml:space="preserve">. </w:t>
      </w:r>
      <w:r w:rsidRPr="00780324">
        <w:rPr>
          <w:rFonts w:asciiTheme="majorBidi" w:eastAsia="Times New Roman" w:hAnsiTheme="majorBidi" w:cstheme="majorBidi"/>
          <w:i/>
          <w:iCs/>
          <w:sz w:val="24"/>
          <w:szCs w:val="24"/>
          <w:lang w:val="sv-SE" w:eastAsia="en-ID"/>
        </w:rPr>
        <w:t>Jurnal Ilmu Nutrisi Dan Teknologi Pakan</w:t>
      </w:r>
      <w:r w:rsidRPr="00780324">
        <w:rPr>
          <w:rFonts w:asciiTheme="majorBidi" w:eastAsia="Times New Roman" w:hAnsiTheme="majorBidi" w:cstheme="majorBidi"/>
          <w:sz w:val="24"/>
          <w:szCs w:val="24"/>
          <w:lang w:val="sv-SE" w:eastAsia="en-ID"/>
        </w:rPr>
        <w:t xml:space="preserve">, </w:t>
      </w:r>
      <w:r w:rsidRPr="00780324">
        <w:rPr>
          <w:rFonts w:asciiTheme="majorBidi" w:eastAsia="Times New Roman" w:hAnsiTheme="majorBidi" w:cstheme="majorBidi"/>
          <w:i/>
          <w:iCs/>
          <w:sz w:val="24"/>
          <w:szCs w:val="24"/>
          <w:lang w:val="sv-SE" w:eastAsia="en-ID"/>
        </w:rPr>
        <w:t>22</w:t>
      </w:r>
      <w:r w:rsidRPr="00780324">
        <w:rPr>
          <w:rFonts w:asciiTheme="majorBidi" w:eastAsia="Times New Roman" w:hAnsiTheme="majorBidi" w:cstheme="majorBidi"/>
          <w:sz w:val="24"/>
          <w:szCs w:val="24"/>
          <w:lang w:val="sv-SE" w:eastAsia="en-ID"/>
        </w:rPr>
        <w:t xml:space="preserve">(1), 23–28. </w:t>
      </w:r>
      <w:r>
        <w:fldChar w:fldCharType="begin"/>
      </w:r>
      <w:r w:rsidRPr="00780324">
        <w:rPr>
          <w:lang w:val="sv-SE"/>
        </w:rPr>
        <w:instrText>HYPERLINK "https://doi.org/10.29244/jintp.22.1.23-28"</w:instrText>
      </w:r>
      <w:r>
        <w:fldChar w:fldCharType="separate"/>
      </w:r>
      <w:r w:rsidRPr="00780324">
        <w:rPr>
          <w:rStyle w:val="Hyperlink"/>
          <w:rFonts w:asciiTheme="majorBidi" w:eastAsia="Times New Roman" w:hAnsiTheme="majorBidi" w:cstheme="majorBidi"/>
          <w:color w:val="auto"/>
          <w:sz w:val="24"/>
          <w:szCs w:val="24"/>
          <w:lang w:val="sv-SE" w:eastAsia="en-ID"/>
        </w:rPr>
        <w:t>https://doi.org/10.29244/jintp.22.1.23-28</w:t>
      </w:r>
      <w:r>
        <w:fldChar w:fldCharType="end"/>
      </w:r>
    </w:p>
    <w:p w14:paraId="700D1CFC" w14:textId="56EFFE66" w:rsidR="00292037" w:rsidRPr="00292037" w:rsidRDefault="00292037" w:rsidP="00BD6A42">
      <w:pPr>
        <w:spacing w:before="240" w:line="240" w:lineRule="auto"/>
        <w:ind w:left="851" w:hanging="851"/>
        <w:jc w:val="both"/>
        <w:rPr>
          <w:rFonts w:ascii="Times New Roman" w:hAnsi="Times New Roman" w:cs="Times New Roman"/>
          <w:sz w:val="24"/>
          <w:szCs w:val="24"/>
          <w:shd w:val="clear" w:color="auto" w:fill="FFFFFF"/>
          <w:lang w:val="sv-SE"/>
        </w:rPr>
      </w:pPr>
      <w:r w:rsidRPr="00780324">
        <w:rPr>
          <w:rFonts w:ascii="Times New Roman" w:hAnsi="Times New Roman" w:cs="Times New Roman"/>
          <w:sz w:val="24"/>
          <w:szCs w:val="24"/>
          <w:shd w:val="clear" w:color="auto" w:fill="FFFFFF"/>
          <w:lang w:val="sv-SE"/>
        </w:rPr>
        <w:t xml:space="preserve">Fitri SD, Laconi EB, Martin RS, Utari TA, Shofiah M, Nugroho JE, Rinaldy A, Erlangga K. 2023. </w:t>
      </w:r>
      <w:r w:rsidRPr="00292037">
        <w:rPr>
          <w:rFonts w:ascii="Times New Roman" w:hAnsi="Times New Roman" w:cs="Times New Roman"/>
          <w:sz w:val="24"/>
          <w:szCs w:val="24"/>
          <w:shd w:val="clear" w:color="auto" w:fill="FFFFFF"/>
        </w:rPr>
        <w:t xml:space="preserve">Viability of </w:t>
      </w:r>
      <w:r w:rsidR="00780324" w:rsidRPr="00292037">
        <w:rPr>
          <w:rFonts w:ascii="Times New Roman" w:hAnsi="Times New Roman" w:cs="Times New Roman"/>
          <w:sz w:val="24"/>
          <w:szCs w:val="24"/>
          <w:shd w:val="clear" w:color="auto" w:fill="FFFFFF"/>
        </w:rPr>
        <w:t xml:space="preserve">probiotics from maggot </w:t>
      </w:r>
      <w:r w:rsidRPr="00292037">
        <w:rPr>
          <w:rFonts w:ascii="Times New Roman" w:hAnsi="Times New Roman" w:cs="Times New Roman"/>
          <w:sz w:val="24"/>
          <w:szCs w:val="24"/>
          <w:shd w:val="clear" w:color="auto" w:fill="FFFFFF"/>
        </w:rPr>
        <w:t>(</w:t>
      </w:r>
      <w:proofErr w:type="spellStart"/>
      <w:r w:rsidRPr="00780324">
        <w:rPr>
          <w:rFonts w:ascii="Times New Roman" w:hAnsi="Times New Roman" w:cs="Times New Roman"/>
          <w:i/>
          <w:iCs/>
          <w:sz w:val="24"/>
          <w:szCs w:val="24"/>
          <w:shd w:val="clear" w:color="auto" w:fill="FFFFFF"/>
        </w:rPr>
        <w:t>Hermetia</w:t>
      </w:r>
      <w:proofErr w:type="spellEnd"/>
      <w:r w:rsidRPr="00780324">
        <w:rPr>
          <w:rFonts w:ascii="Times New Roman" w:hAnsi="Times New Roman" w:cs="Times New Roman"/>
          <w:i/>
          <w:iCs/>
          <w:sz w:val="24"/>
          <w:szCs w:val="24"/>
          <w:shd w:val="clear" w:color="auto" w:fill="FFFFFF"/>
        </w:rPr>
        <w:t xml:space="preserve"> </w:t>
      </w:r>
      <w:proofErr w:type="spellStart"/>
      <w:r w:rsidRPr="00780324">
        <w:rPr>
          <w:rFonts w:ascii="Times New Roman" w:hAnsi="Times New Roman" w:cs="Times New Roman"/>
          <w:i/>
          <w:iCs/>
          <w:sz w:val="24"/>
          <w:szCs w:val="24"/>
          <w:shd w:val="clear" w:color="auto" w:fill="FFFFFF"/>
        </w:rPr>
        <w:t>illucens</w:t>
      </w:r>
      <w:proofErr w:type="spellEnd"/>
      <w:r w:rsidRPr="00292037">
        <w:rPr>
          <w:rFonts w:ascii="Times New Roman" w:hAnsi="Times New Roman" w:cs="Times New Roman"/>
          <w:sz w:val="24"/>
          <w:szCs w:val="24"/>
          <w:shd w:val="clear" w:color="auto" w:fill="FFFFFF"/>
        </w:rPr>
        <w:t xml:space="preserve">) </w:t>
      </w:r>
      <w:r w:rsidR="00780324" w:rsidRPr="00292037">
        <w:rPr>
          <w:rFonts w:ascii="Times New Roman" w:hAnsi="Times New Roman" w:cs="Times New Roman"/>
          <w:sz w:val="24"/>
          <w:szCs w:val="24"/>
          <w:shd w:val="clear" w:color="auto" w:fill="FFFFFF"/>
        </w:rPr>
        <w:t>fermentation against temperature and storage duration</w:t>
      </w:r>
      <w:r w:rsidRPr="00292037">
        <w:rPr>
          <w:rFonts w:ascii="Times New Roman" w:hAnsi="Times New Roman" w:cs="Times New Roman"/>
          <w:sz w:val="24"/>
          <w:szCs w:val="24"/>
          <w:shd w:val="clear" w:color="auto" w:fill="FFFFFF"/>
        </w:rPr>
        <w:t xml:space="preserve">. </w:t>
      </w:r>
      <w:r w:rsidRPr="00292037">
        <w:rPr>
          <w:rFonts w:ascii="Times New Roman" w:hAnsi="Times New Roman" w:cs="Times New Roman"/>
          <w:i/>
          <w:iCs/>
          <w:sz w:val="24"/>
          <w:szCs w:val="24"/>
          <w:shd w:val="clear" w:color="auto" w:fill="FFFFFF"/>
          <w:lang w:val="sv-SE"/>
        </w:rPr>
        <w:t>Jurnal Ilmu Nutrisi dan Teknologi Pakan</w:t>
      </w:r>
      <w:r w:rsidRPr="00292037">
        <w:rPr>
          <w:rFonts w:ascii="Times New Roman" w:hAnsi="Times New Roman" w:cs="Times New Roman"/>
          <w:sz w:val="24"/>
          <w:szCs w:val="24"/>
          <w:shd w:val="clear" w:color="auto" w:fill="FFFFFF"/>
          <w:lang w:val="sv-SE"/>
        </w:rPr>
        <w:t xml:space="preserve">. 26;21(3):171-9. </w:t>
      </w:r>
      <w:r>
        <w:fldChar w:fldCharType="begin"/>
      </w:r>
      <w:r w:rsidRPr="00780324">
        <w:rPr>
          <w:lang w:val="sv-SE"/>
        </w:rPr>
        <w:instrText>HYPERLINK "https://doi.org/10.29244/jintp.21.3.171-179"</w:instrText>
      </w:r>
      <w:r>
        <w:fldChar w:fldCharType="separate"/>
      </w:r>
      <w:r w:rsidRPr="00292037">
        <w:rPr>
          <w:rStyle w:val="Hyperlink"/>
          <w:rFonts w:ascii="Times New Roman" w:hAnsi="Times New Roman" w:cs="Times New Roman"/>
          <w:color w:val="auto"/>
          <w:sz w:val="24"/>
          <w:szCs w:val="24"/>
          <w:shd w:val="clear" w:color="auto" w:fill="FFFFFF"/>
          <w:lang w:val="sv-SE"/>
        </w:rPr>
        <w:t>https://doi.org/10.29244/jintp.21.3.171-179</w:t>
      </w:r>
      <w:r>
        <w:fldChar w:fldCharType="end"/>
      </w:r>
    </w:p>
    <w:p w14:paraId="421DDC31" w14:textId="7777777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780324">
        <w:rPr>
          <w:rFonts w:ascii="Times New Roman" w:eastAsia="Times New Roman" w:hAnsi="Times New Roman" w:cs="Times New Roman"/>
          <w:sz w:val="24"/>
          <w:szCs w:val="24"/>
          <w:lang w:val="sv-SE" w:eastAsia="en-ID"/>
        </w:rPr>
        <w:t xml:space="preserve">Gupta, V., Odaneth, A. A., &amp; Lali, A. M. (2023). </w:t>
      </w:r>
      <w:r w:rsidRPr="00292037">
        <w:rPr>
          <w:rFonts w:ascii="Times New Roman" w:eastAsia="Times New Roman" w:hAnsi="Times New Roman" w:cs="Times New Roman"/>
          <w:sz w:val="24"/>
          <w:szCs w:val="24"/>
          <w:lang w:eastAsia="en-ID"/>
        </w:rPr>
        <w:t>High cell density continuous fermentation for L-lactic acid production from cane molasses. </w:t>
      </w:r>
      <w:r w:rsidRPr="00292037">
        <w:rPr>
          <w:rFonts w:ascii="Times New Roman" w:eastAsia="Times New Roman" w:hAnsi="Times New Roman" w:cs="Times New Roman"/>
          <w:i/>
          <w:iCs/>
          <w:sz w:val="24"/>
          <w:szCs w:val="24"/>
          <w:lang w:eastAsia="en-ID"/>
        </w:rPr>
        <w:t>Preparative Biochemistry &amp; Biotechnology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53</w:t>
      </w:r>
      <w:r w:rsidRPr="00292037">
        <w:rPr>
          <w:rFonts w:ascii="Times New Roman" w:eastAsia="Times New Roman" w:hAnsi="Times New Roman" w:cs="Times New Roman"/>
          <w:sz w:val="24"/>
          <w:szCs w:val="24"/>
          <w:lang w:eastAsia="en-ID"/>
        </w:rPr>
        <w:t xml:space="preserve">(9), 1043-1057. </w:t>
      </w:r>
      <w:hyperlink r:id="rId25" w:history="1">
        <w:r w:rsidRPr="00292037">
          <w:rPr>
            <w:rStyle w:val="Hyperlink"/>
            <w:rFonts w:ascii="Times New Roman" w:eastAsia="Times New Roman" w:hAnsi="Times New Roman" w:cs="Times New Roman"/>
            <w:color w:val="auto"/>
            <w:sz w:val="24"/>
            <w:szCs w:val="24"/>
            <w:lang w:eastAsia="en-ID"/>
          </w:rPr>
          <w:t>https://doi.org/10.1080/10826068.2023.2166956</w:t>
        </w:r>
      </w:hyperlink>
    </w:p>
    <w:p w14:paraId="0E952C54" w14:textId="263F114A" w:rsidR="00292037" w:rsidRPr="00292037" w:rsidRDefault="00292037" w:rsidP="00292037">
      <w:pPr>
        <w:spacing w:before="240" w:line="240" w:lineRule="auto"/>
        <w:ind w:left="851" w:hanging="851"/>
        <w:jc w:val="both"/>
        <w:rPr>
          <w:rFonts w:ascii="Times New Roman" w:eastAsia="Times New Roman" w:hAnsi="Times New Roman" w:cs="Times New Roman"/>
          <w:sz w:val="24"/>
          <w:szCs w:val="24"/>
          <w:lang w:eastAsia="en-ID"/>
        </w:rPr>
      </w:pPr>
      <w:r w:rsidRPr="0017451F">
        <w:rPr>
          <w:rFonts w:ascii="Times New Roman" w:eastAsia="Times New Roman" w:hAnsi="Times New Roman" w:cs="Times New Roman"/>
          <w:sz w:val="24"/>
          <w:szCs w:val="24"/>
          <w:lang w:val="en-US" w:eastAsia="en-ID"/>
        </w:rPr>
        <w:t xml:space="preserve">Hawaz, E., Tafesse, M., Tesfaye, A., Kiros, S., Beyene, D., Kebede, G., &amp; Muleta, D. (2023). </w:t>
      </w:r>
      <w:r w:rsidRPr="00292037">
        <w:rPr>
          <w:rFonts w:ascii="Times New Roman" w:eastAsia="Times New Roman" w:hAnsi="Times New Roman" w:cs="Times New Roman"/>
          <w:sz w:val="24"/>
          <w:szCs w:val="24"/>
          <w:lang w:eastAsia="en-ID"/>
        </w:rPr>
        <w:t xml:space="preserve">Optimization of bioethanol production from sugarcane molasses by the response surface methodology using </w:t>
      </w:r>
      <w:proofErr w:type="spellStart"/>
      <w:r w:rsidRPr="00292037">
        <w:rPr>
          <w:rFonts w:ascii="Times New Roman" w:eastAsia="Times New Roman" w:hAnsi="Times New Roman" w:cs="Times New Roman"/>
          <w:sz w:val="24"/>
          <w:szCs w:val="24"/>
          <w:lang w:eastAsia="en-ID"/>
        </w:rPr>
        <w:t>Meyerozyma</w:t>
      </w:r>
      <w:proofErr w:type="spellEnd"/>
      <w:r w:rsidRPr="00292037">
        <w:rPr>
          <w:rFonts w:ascii="Times New Roman" w:eastAsia="Times New Roman" w:hAnsi="Times New Roman" w:cs="Times New Roman"/>
          <w:sz w:val="24"/>
          <w:szCs w:val="24"/>
          <w:lang w:eastAsia="en-ID"/>
        </w:rPr>
        <w:t xml:space="preserve"> </w:t>
      </w:r>
      <w:proofErr w:type="spellStart"/>
      <w:r w:rsidRPr="00292037">
        <w:rPr>
          <w:rFonts w:ascii="Times New Roman" w:eastAsia="Times New Roman" w:hAnsi="Times New Roman" w:cs="Times New Roman"/>
          <w:sz w:val="24"/>
          <w:szCs w:val="24"/>
          <w:lang w:eastAsia="en-ID"/>
        </w:rPr>
        <w:t>caribbica</w:t>
      </w:r>
      <w:proofErr w:type="spellEnd"/>
      <w:r w:rsidRPr="00292037">
        <w:rPr>
          <w:rFonts w:ascii="Times New Roman" w:eastAsia="Times New Roman" w:hAnsi="Times New Roman" w:cs="Times New Roman"/>
          <w:sz w:val="24"/>
          <w:szCs w:val="24"/>
          <w:lang w:eastAsia="en-ID"/>
        </w:rPr>
        <w:t xml:space="preserve"> isolate MJTm3. </w:t>
      </w:r>
      <w:r w:rsidRPr="00292037">
        <w:rPr>
          <w:rFonts w:ascii="Times New Roman" w:eastAsia="Times New Roman" w:hAnsi="Times New Roman" w:cs="Times New Roman"/>
          <w:i/>
          <w:iCs/>
          <w:sz w:val="24"/>
          <w:szCs w:val="24"/>
          <w:lang w:eastAsia="en-ID"/>
        </w:rPr>
        <w:t>Annals of Microbiology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73</w:t>
      </w:r>
      <w:r w:rsidRPr="00292037">
        <w:rPr>
          <w:rFonts w:ascii="Times New Roman" w:eastAsia="Times New Roman" w:hAnsi="Times New Roman" w:cs="Times New Roman"/>
          <w:sz w:val="24"/>
          <w:szCs w:val="24"/>
          <w:lang w:eastAsia="en-ID"/>
        </w:rPr>
        <w:t xml:space="preserve">(1), 2. </w:t>
      </w:r>
      <w:hyperlink r:id="rId26" w:history="1">
        <w:r w:rsidRPr="00292037">
          <w:rPr>
            <w:rStyle w:val="Hyperlink"/>
            <w:rFonts w:ascii="Times New Roman" w:eastAsia="Times New Roman" w:hAnsi="Times New Roman" w:cs="Times New Roman"/>
            <w:color w:val="auto"/>
            <w:sz w:val="24"/>
            <w:szCs w:val="24"/>
            <w:lang w:eastAsia="en-ID"/>
          </w:rPr>
          <w:t>https://doi.org/10.1186/s13213-022-01706-3</w:t>
        </w:r>
      </w:hyperlink>
      <w:r w:rsidRPr="00292037">
        <w:rPr>
          <w:rFonts w:ascii="Times New Roman" w:eastAsia="Times New Roman" w:hAnsi="Times New Roman" w:cs="Times New Roman"/>
          <w:sz w:val="24"/>
          <w:szCs w:val="24"/>
          <w:lang w:eastAsia="en-ID"/>
        </w:rPr>
        <w:t xml:space="preserve"> </w:t>
      </w:r>
    </w:p>
    <w:p w14:paraId="0BD254E8" w14:textId="66DB6B19"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17451F">
        <w:rPr>
          <w:rFonts w:ascii="Times New Roman" w:eastAsia="Times New Roman" w:hAnsi="Times New Roman" w:cs="Times New Roman"/>
          <w:sz w:val="24"/>
          <w:szCs w:val="24"/>
          <w:lang w:val="pt-BR" w:eastAsia="en-ID"/>
        </w:rPr>
        <w:t xml:space="preserve">Holanda, R. S. O., Araujo, J. J. S., &amp; de Abreu, F. C. (2024). </w:t>
      </w:r>
      <w:r w:rsidRPr="00292037">
        <w:rPr>
          <w:rFonts w:ascii="Times New Roman" w:eastAsia="Times New Roman" w:hAnsi="Times New Roman" w:cs="Times New Roman"/>
          <w:sz w:val="24"/>
          <w:szCs w:val="24"/>
          <w:lang w:eastAsia="en-ID"/>
        </w:rPr>
        <w:t xml:space="preserve">Enhancing the </w:t>
      </w:r>
      <w:r w:rsidR="00780324" w:rsidRPr="00292037">
        <w:rPr>
          <w:rFonts w:ascii="Times New Roman" w:eastAsia="Times New Roman" w:hAnsi="Times New Roman" w:cs="Times New Roman"/>
          <w:sz w:val="24"/>
          <w:szCs w:val="24"/>
          <w:lang w:eastAsia="en-ID"/>
        </w:rPr>
        <w:t xml:space="preserve">potential of sugarcane molasses in microbial electrosynthesis: biological characteristics </w:t>
      </w:r>
      <w:r w:rsidRPr="00292037">
        <w:rPr>
          <w:rFonts w:ascii="Times New Roman" w:eastAsia="Times New Roman" w:hAnsi="Times New Roman" w:cs="Times New Roman"/>
          <w:sz w:val="24"/>
          <w:szCs w:val="24"/>
          <w:lang w:eastAsia="en-ID"/>
        </w:rPr>
        <w:t xml:space="preserve">for CO2 </w:t>
      </w:r>
      <w:r w:rsidR="00780324" w:rsidRPr="00292037">
        <w:rPr>
          <w:rFonts w:ascii="Times New Roman" w:eastAsia="Times New Roman" w:hAnsi="Times New Roman" w:cs="Times New Roman"/>
          <w:sz w:val="24"/>
          <w:szCs w:val="24"/>
          <w:lang w:eastAsia="en-ID"/>
        </w:rPr>
        <w:t>capture and energy generation</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Journal of Biomedical Nanotechnology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21</w:t>
      </w:r>
      <w:r w:rsidRPr="00292037">
        <w:rPr>
          <w:rFonts w:ascii="Times New Roman" w:eastAsia="Times New Roman" w:hAnsi="Times New Roman" w:cs="Times New Roman"/>
          <w:sz w:val="24"/>
          <w:szCs w:val="24"/>
          <w:lang w:eastAsia="en-ID"/>
        </w:rPr>
        <w:t xml:space="preserve">(1), 34-41. </w:t>
      </w:r>
      <w:hyperlink r:id="rId27" w:history="1">
        <w:r w:rsidRPr="00292037">
          <w:rPr>
            <w:rStyle w:val="Hyperlink"/>
            <w:rFonts w:ascii="Times New Roman" w:eastAsia="Times New Roman" w:hAnsi="Times New Roman" w:cs="Times New Roman"/>
            <w:color w:val="auto"/>
            <w:sz w:val="24"/>
            <w:szCs w:val="24"/>
            <w:lang w:eastAsia="en-ID"/>
          </w:rPr>
          <w:t>https://doi.org/10.1166/jbn.2025.3940</w:t>
        </w:r>
      </w:hyperlink>
    </w:p>
    <w:p w14:paraId="1F0FF936" w14:textId="7777777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Huang, X. Y., Wang, C. K., Zhao, Y. W., Sun, C. H., &amp; Hu, D. G. (2021). Mechanisms and regulation of organic acid accumulation in plant vacuoles. </w:t>
      </w:r>
      <w:r w:rsidRPr="00292037">
        <w:rPr>
          <w:rFonts w:ascii="Times New Roman" w:eastAsia="Times New Roman" w:hAnsi="Times New Roman" w:cs="Times New Roman"/>
          <w:i/>
          <w:iCs/>
          <w:sz w:val="24"/>
          <w:szCs w:val="24"/>
          <w:lang w:eastAsia="en-ID"/>
        </w:rPr>
        <w:t>Horticulture Research</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8</w:t>
      </w:r>
      <w:r w:rsidRPr="00292037">
        <w:rPr>
          <w:rFonts w:ascii="Times New Roman" w:eastAsia="Times New Roman" w:hAnsi="Times New Roman" w:cs="Times New Roman"/>
          <w:sz w:val="24"/>
          <w:szCs w:val="24"/>
          <w:lang w:eastAsia="en-ID"/>
        </w:rPr>
        <w:t xml:space="preserve">. </w:t>
      </w:r>
      <w:hyperlink r:id="rId28" w:history="1">
        <w:r w:rsidRPr="00292037">
          <w:rPr>
            <w:rStyle w:val="Hyperlink"/>
            <w:rFonts w:ascii="Times New Roman" w:eastAsia="Times New Roman" w:hAnsi="Times New Roman" w:cs="Times New Roman"/>
            <w:color w:val="auto"/>
            <w:sz w:val="24"/>
            <w:szCs w:val="24"/>
            <w:lang w:eastAsia="en-ID"/>
          </w:rPr>
          <w:t>https://doi.org/10.1038/S41438-021-00702-Z</w:t>
        </w:r>
      </w:hyperlink>
    </w:p>
    <w:p w14:paraId="42D8578C" w14:textId="14CFCE4E"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lastRenderedPageBreak/>
        <w:t xml:space="preserve">Kasmiarti, G., Hermansyah, H., Novia, N., &amp; </w:t>
      </w:r>
      <w:proofErr w:type="spellStart"/>
      <w:r w:rsidRPr="00292037">
        <w:rPr>
          <w:rFonts w:ascii="Times New Roman" w:eastAsia="Times New Roman" w:hAnsi="Times New Roman" w:cs="Times New Roman"/>
          <w:sz w:val="24"/>
          <w:szCs w:val="24"/>
          <w:lang w:eastAsia="en-ID"/>
        </w:rPr>
        <w:t>Hariani</w:t>
      </w:r>
      <w:proofErr w:type="spellEnd"/>
      <w:r w:rsidRPr="00292037">
        <w:rPr>
          <w:rFonts w:ascii="Times New Roman" w:eastAsia="Times New Roman" w:hAnsi="Times New Roman" w:cs="Times New Roman"/>
          <w:sz w:val="24"/>
          <w:szCs w:val="24"/>
          <w:lang w:eastAsia="en-ID"/>
        </w:rPr>
        <w:t xml:space="preserve">, P. L. (2024). The </w:t>
      </w:r>
      <w:r w:rsidR="00780324" w:rsidRPr="00292037">
        <w:rPr>
          <w:rFonts w:ascii="Times New Roman" w:eastAsia="Times New Roman" w:hAnsi="Times New Roman" w:cs="Times New Roman"/>
          <w:sz w:val="24"/>
          <w:szCs w:val="24"/>
          <w:lang w:eastAsia="en-ID"/>
        </w:rPr>
        <w:t xml:space="preserve">use of molasses in producing bioethanol </w:t>
      </w:r>
      <w:proofErr w:type="spellStart"/>
      <w:r w:rsidR="00780324" w:rsidRPr="00292037">
        <w:rPr>
          <w:rFonts w:ascii="Times New Roman" w:eastAsia="Times New Roman" w:hAnsi="Times New Roman" w:cs="Times New Roman"/>
          <w:sz w:val="24"/>
          <w:szCs w:val="24"/>
          <w:lang w:eastAsia="en-ID"/>
        </w:rPr>
        <w:t>catalyzed</w:t>
      </w:r>
      <w:proofErr w:type="spellEnd"/>
      <w:r w:rsidR="00780324" w:rsidRPr="00292037">
        <w:rPr>
          <w:rFonts w:ascii="Times New Roman" w:eastAsia="Times New Roman" w:hAnsi="Times New Roman" w:cs="Times New Roman"/>
          <w:sz w:val="24"/>
          <w:szCs w:val="24"/>
          <w:lang w:eastAsia="en-ID"/>
        </w:rPr>
        <w:t xml:space="preserve"> by candida tropicalis </w:t>
      </w:r>
      <w:r w:rsidRPr="00292037">
        <w:rPr>
          <w:rFonts w:ascii="Times New Roman" w:eastAsia="Times New Roman" w:hAnsi="Times New Roman" w:cs="Times New Roman"/>
          <w:sz w:val="24"/>
          <w:szCs w:val="24"/>
          <w:lang w:eastAsia="en-ID"/>
        </w:rPr>
        <w:t xml:space="preserve">(Isolated from </w:t>
      </w:r>
      <w:r w:rsidRPr="00780324">
        <w:rPr>
          <w:rFonts w:ascii="Times New Roman" w:eastAsia="Times New Roman" w:hAnsi="Times New Roman" w:cs="Times New Roman"/>
          <w:i/>
          <w:iCs/>
          <w:sz w:val="24"/>
          <w:szCs w:val="24"/>
          <w:lang w:eastAsia="en-ID"/>
        </w:rPr>
        <w:t>Cocos nucifera</w:t>
      </w:r>
      <w:r w:rsidRPr="00292037">
        <w:rPr>
          <w:rFonts w:ascii="Times New Roman" w:eastAsia="Times New Roman" w:hAnsi="Times New Roman" w:cs="Times New Roman"/>
          <w:sz w:val="24"/>
          <w:szCs w:val="24"/>
          <w:lang w:eastAsia="en-ID"/>
        </w:rPr>
        <w:t xml:space="preserve">. L) </w:t>
      </w:r>
      <w:r w:rsidR="00780324">
        <w:rPr>
          <w:rFonts w:ascii="Times New Roman" w:eastAsia="Times New Roman" w:hAnsi="Times New Roman" w:cs="Times New Roman"/>
          <w:sz w:val="24"/>
          <w:szCs w:val="24"/>
          <w:lang w:eastAsia="en-ID"/>
        </w:rPr>
        <w:t>i</w:t>
      </w:r>
      <w:r w:rsidRPr="00292037">
        <w:rPr>
          <w:rFonts w:ascii="Times New Roman" w:eastAsia="Times New Roman" w:hAnsi="Times New Roman" w:cs="Times New Roman"/>
          <w:sz w:val="24"/>
          <w:szCs w:val="24"/>
          <w:lang w:eastAsia="en-ID"/>
        </w:rPr>
        <w:t xml:space="preserve">mmobilized MnFe2O4 </w:t>
      </w:r>
      <w:r w:rsidR="00780324">
        <w:rPr>
          <w:rFonts w:ascii="Times New Roman" w:eastAsia="Times New Roman" w:hAnsi="Times New Roman" w:cs="Times New Roman"/>
          <w:sz w:val="24"/>
          <w:szCs w:val="24"/>
          <w:lang w:eastAsia="en-ID"/>
        </w:rPr>
        <w:t>c</w:t>
      </w:r>
      <w:r w:rsidRPr="00292037">
        <w:rPr>
          <w:rFonts w:ascii="Times New Roman" w:eastAsia="Times New Roman" w:hAnsi="Times New Roman" w:cs="Times New Roman"/>
          <w:sz w:val="24"/>
          <w:szCs w:val="24"/>
          <w:lang w:eastAsia="en-ID"/>
        </w:rPr>
        <w:t>oated-</w:t>
      </w:r>
      <w:r w:rsidR="00780324">
        <w:rPr>
          <w:rFonts w:ascii="Times New Roman" w:eastAsia="Times New Roman" w:hAnsi="Times New Roman" w:cs="Times New Roman"/>
          <w:sz w:val="24"/>
          <w:szCs w:val="24"/>
          <w:lang w:eastAsia="en-ID"/>
        </w:rPr>
        <w:t>c</w:t>
      </w:r>
      <w:r w:rsidRPr="00292037">
        <w:rPr>
          <w:rFonts w:ascii="Times New Roman" w:eastAsia="Times New Roman" w:hAnsi="Times New Roman" w:cs="Times New Roman"/>
          <w:sz w:val="24"/>
          <w:szCs w:val="24"/>
          <w:lang w:eastAsia="en-ID"/>
        </w:rPr>
        <w:t>hitosan. </w:t>
      </w:r>
      <w:proofErr w:type="spellStart"/>
      <w:r w:rsidRPr="00292037">
        <w:rPr>
          <w:rFonts w:ascii="Times New Roman" w:eastAsia="Times New Roman" w:hAnsi="Times New Roman" w:cs="Times New Roman"/>
          <w:i/>
          <w:iCs/>
          <w:sz w:val="24"/>
          <w:szCs w:val="24"/>
          <w:lang w:eastAsia="en-ID"/>
        </w:rPr>
        <w:t>Molekul</w:t>
      </w:r>
      <w:proofErr w:type="spellEnd"/>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19</w:t>
      </w:r>
      <w:r w:rsidRPr="00292037">
        <w:rPr>
          <w:rFonts w:ascii="Times New Roman" w:eastAsia="Times New Roman" w:hAnsi="Times New Roman" w:cs="Times New Roman"/>
          <w:sz w:val="24"/>
          <w:szCs w:val="24"/>
          <w:lang w:eastAsia="en-ID"/>
        </w:rPr>
        <w:t xml:space="preserve">(1), 180-188. </w:t>
      </w:r>
      <w:hyperlink r:id="rId29" w:history="1">
        <w:r w:rsidRPr="00292037">
          <w:rPr>
            <w:rStyle w:val="Hyperlink"/>
            <w:rFonts w:ascii="Times New Roman" w:eastAsia="Times New Roman" w:hAnsi="Times New Roman" w:cs="Times New Roman"/>
            <w:color w:val="auto"/>
            <w:sz w:val="24"/>
            <w:szCs w:val="24"/>
            <w:lang w:eastAsia="en-ID"/>
          </w:rPr>
          <w:t>https://doi.org/10.4108/eai.5-10-2022.2328345</w:t>
        </w:r>
      </w:hyperlink>
    </w:p>
    <w:p w14:paraId="00A361EA" w14:textId="7777777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hAnsi="Times New Roman" w:cs="Times New Roman"/>
          <w:sz w:val="24"/>
          <w:szCs w:val="24"/>
        </w:rPr>
        <w:t>Li, X., Chen, Z., Wang, J., Mu, J., Ma, Q., &amp; Lu, X. (2023). Symbiosis of acetic acid bacteria and yeast isolated from black tea fungus mimicking the kombucha environment in bacterial cellulose synthesis. </w:t>
      </w:r>
      <w:r w:rsidRPr="00292037">
        <w:rPr>
          <w:rFonts w:ascii="Times New Roman" w:hAnsi="Times New Roman" w:cs="Times New Roman"/>
          <w:i/>
          <w:iCs/>
          <w:sz w:val="24"/>
          <w:szCs w:val="24"/>
        </w:rPr>
        <w:t>International Food Research Journal</w:t>
      </w:r>
      <w:r w:rsidRPr="00292037">
        <w:rPr>
          <w:rFonts w:ascii="Times New Roman" w:hAnsi="Times New Roman" w:cs="Times New Roman"/>
          <w:sz w:val="24"/>
          <w:szCs w:val="24"/>
        </w:rPr>
        <w:t>, </w:t>
      </w:r>
      <w:r w:rsidRPr="00292037">
        <w:rPr>
          <w:rFonts w:ascii="Times New Roman" w:hAnsi="Times New Roman" w:cs="Times New Roman"/>
          <w:i/>
          <w:iCs/>
          <w:sz w:val="24"/>
          <w:szCs w:val="24"/>
        </w:rPr>
        <w:t>30</w:t>
      </w:r>
      <w:r w:rsidRPr="00292037">
        <w:rPr>
          <w:rFonts w:ascii="Times New Roman" w:hAnsi="Times New Roman" w:cs="Times New Roman"/>
          <w:sz w:val="24"/>
          <w:szCs w:val="24"/>
        </w:rPr>
        <w:t xml:space="preserve">(6). </w:t>
      </w:r>
      <w:hyperlink r:id="rId30" w:history="1">
        <w:r w:rsidRPr="00292037">
          <w:rPr>
            <w:rStyle w:val="Hyperlink"/>
            <w:rFonts w:ascii="Times New Roman" w:eastAsia="Times New Roman" w:hAnsi="Times New Roman" w:cs="Times New Roman"/>
            <w:color w:val="auto"/>
            <w:sz w:val="24"/>
            <w:szCs w:val="24"/>
            <w:lang w:eastAsia="en-ID"/>
          </w:rPr>
          <w:t>https://doi.org/10.47836/ifrj.30.6.13</w:t>
        </w:r>
      </w:hyperlink>
      <w:r w:rsidRPr="00292037">
        <w:rPr>
          <w:rFonts w:ascii="Times New Roman" w:eastAsia="Times New Roman" w:hAnsi="Times New Roman" w:cs="Times New Roman"/>
          <w:sz w:val="24"/>
          <w:szCs w:val="24"/>
          <w:lang w:eastAsia="en-ID"/>
        </w:rPr>
        <w:t xml:space="preserve"> </w:t>
      </w:r>
    </w:p>
    <w:p w14:paraId="16F00F7F" w14:textId="7777777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Li, Z., Zheng, M., Zheng, J., &amp; </w:t>
      </w:r>
      <w:proofErr w:type="spellStart"/>
      <w:r w:rsidRPr="00292037">
        <w:rPr>
          <w:rFonts w:ascii="Times New Roman" w:eastAsia="Times New Roman" w:hAnsi="Times New Roman" w:cs="Times New Roman"/>
          <w:sz w:val="24"/>
          <w:szCs w:val="24"/>
          <w:lang w:eastAsia="en-ID"/>
        </w:rPr>
        <w:t>Gänzle</w:t>
      </w:r>
      <w:proofErr w:type="spellEnd"/>
      <w:r w:rsidRPr="00292037">
        <w:rPr>
          <w:rFonts w:ascii="Times New Roman" w:eastAsia="Times New Roman" w:hAnsi="Times New Roman" w:cs="Times New Roman"/>
          <w:sz w:val="24"/>
          <w:szCs w:val="24"/>
          <w:lang w:eastAsia="en-ID"/>
        </w:rPr>
        <w:t>, M. G. (2023). Bacillus species in food fermentations: An underappreciated group of organisms for safe use in food fermentations. </w:t>
      </w:r>
      <w:r w:rsidRPr="00292037">
        <w:rPr>
          <w:rFonts w:ascii="Times New Roman" w:eastAsia="Times New Roman" w:hAnsi="Times New Roman" w:cs="Times New Roman"/>
          <w:i/>
          <w:iCs/>
          <w:sz w:val="24"/>
          <w:szCs w:val="24"/>
          <w:lang w:eastAsia="en-ID"/>
        </w:rPr>
        <w:t>Current Opinion in Food Science</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50</w:t>
      </w:r>
      <w:r w:rsidRPr="00292037">
        <w:rPr>
          <w:rFonts w:ascii="Times New Roman" w:eastAsia="Times New Roman" w:hAnsi="Times New Roman" w:cs="Times New Roman"/>
          <w:sz w:val="24"/>
          <w:szCs w:val="24"/>
          <w:lang w:eastAsia="en-ID"/>
        </w:rPr>
        <w:t xml:space="preserve">, 101007. </w:t>
      </w:r>
      <w:hyperlink r:id="rId31" w:history="1">
        <w:r w:rsidRPr="00292037">
          <w:rPr>
            <w:rStyle w:val="Hyperlink"/>
            <w:rFonts w:ascii="Times New Roman" w:eastAsia="Times New Roman" w:hAnsi="Times New Roman" w:cs="Times New Roman"/>
            <w:color w:val="auto"/>
            <w:sz w:val="24"/>
            <w:szCs w:val="24"/>
            <w:lang w:eastAsia="en-ID"/>
          </w:rPr>
          <w:t>https://doi.org/10.1016/j.cofs.2023.101007</w:t>
        </w:r>
      </w:hyperlink>
      <w:r w:rsidRPr="00292037">
        <w:rPr>
          <w:rFonts w:ascii="Times New Roman" w:eastAsia="Times New Roman" w:hAnsi="Times New Roman" w:cs="Times New Roman"/>
          <w:sz w:val="24"/>
          <w:szCs w:val="24"/>
          <w:lang w:eastAsia="en-ID"/>
        </w:rPr>
        <w:t xml:space="preserve"> </w:t>
      </w:r>
    </w:p>
    <w:p w14:paraId="128F4B8A" w14:textId="6873328A" w:rsidR="00292037" w:rsidRPr="00780324" w:rsidRDefault="00292037" w:rsidP="00292037">
      <w:pPr>
        <w:spacing w:before="240" w:line="240" w:lineRule="auto"/>
        <w:ind w:left="851" w:hanging="851"/>
        <w:jc w:val="both"/>
        <w:rPr>
          <w:rFonts w:ascii="Times New Roman" w:eastAsia="Times New Roman" w:hAnsi="Times New Roman" w:cs="Times New Roman"/>
          <w:sz w:val="24"/>
          <w:szCs w:val="24"/>
          <w:lang w:val="en-US" w:eastAsia="en-ID"/>
        </w:rPr>
      </w:pPr>
      <w:r w:rsidRPr="00780324">
        <w:rPr>
          <w:rFonts w:ascii="Times New Roman" w:eastAsia="Times New Roman" w:hAnsi="Times New Roman" w:cs="Times New Roman"/>
          <w:sz w:val="24"/>
          <w:szCs w:val="24"/>
          <w:lang w:val="sv-SE" w:eastAsia="en-ID"/>
        </w:rPr>
        <w:t xml:space="preserve">Loo, J. S., Oslan, S. N. H., Mokshin, N. A. S., Othman, R., Amin, Z., Dejtisakdi, W.,  &amp; Tan, J. S. (2025). </w:t>
      </w:r>
      <w:r w:rsidRPr="00292037">
        <w:rPr>
          <w:rFonts w:ascii="Times New Roman" w:eastAsia="Times New Roman" w:hAnsi="Times New Roman" w:cs="Times New Roman"/>
          <w:sz w:val="24"/>
          <w:szCs w:val="24"/>
          <w:lang w:eastAsia="en-ID"/>
        </w:rPr>
        <w:t xml:space="preserve">Comprehensive </w:t>
      </w:r>
      <w:r w:rsidR="00780324" w:rsidRPr="00292037">
        <w:rPr>
          <w:rFonts w:ascii="Times New Roman" w:eastAsia="Times New Roman" w:hAnsi="Times New Roman" w:cs="Times New Roman"/>
          <w:sz w:val="24"/>
          <w:szCs w:val="24"/>
          <w:lang w:eastAsia="en-ID"/>
        </w:rPr>
        <w:t>review of strategies for lactic acid bacteria production and metabolite enhancement in probiotic cultures: multifunctional applications in functional foods</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Fermentation</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11</w:t>
      </w:r>
      <w:r w:rsidRPr="00292037">
        <w:rPr>
          <w:rFonts w:ascii="Times New Roman" w:eastAsia="Times New Roman" w:hAnsi="Times New Roman" w:cs="Times New Roman"/>
          <w:sz w:val="24"/>
          <w:szCs w:val="24"/>
          <w:lang w:eastAsia="en-ID"/>
        </w:rPr>
        <w:t>(5), 241.</w:t>
      </w:r>
      <w:r w:rsidRPr="00780324">
        <w:rPr>
          <w:rFonts w:ascii="Times New Roman" w:eastAsia="Times New Roman" w:hAnsi="Times New Roman" w:cs="Times New Roman"/>
          <w:sz w:val="24"/>
          <w:szCs w:val="24"/>
          <w:lang w:val="en-US" w:eastAsia="en-ID"/>
        </w:rPr>
        <w:t xml:space="preserve"> </w:t>
      </w:r>
      <w:hyperlink r:id="rId32" w:history="1">
        <w:r w:rsidRPr="00780324">
          <w:rPr>
            <w:rStyle w:val="Hyperlink"/>
            <w:rFonts w:ascii="Times New Roman" w:eastAsia="Times New Roman" w:hAnsi="Times New Roman" w:cs="Times New Roman"/>
            <w:color w:val="auto"/>
            <w:sz w:val="24"/>
            <w:szCs w:val="24"/>
            <w:lang w:val="en-US" w:eastAsia="en-ID"/>
          </w:rPr>
          <w:t>https://doi.org/10.3390/fermentation11050241</w:t>
        </w:r>
      </w:hyperlink>
    </w:p>
    <w:p w14:paraId="1E51A84B" w14:textId="5E7FCB72"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Mebrat, Y.</w:t>
      </w:r>
      <w:r w:rsidR="00780324">
        <w:rPr>
          <w:rFonts w:ascii="Times New Roman" w:eastAsia="Times New Roman" w:hAnsi="Times New Roman" w:cs="Times New Roman"/>
          <w:sz w:val="24"/>
          <w:szCs w:val="24"/>
          <w:lang w:eastAsia="en-ID"/>
        </w:rPr>
        <w:t xml:space="preserve"> (2024).</w:t>
      </w:r>
      <w:r w:rsidRPr="00292037">
        <w:rPr>
          <w:rFonts w:ascii="Times New Roman" w:eastAsia="Times New Roman" w:hAnsi="Times New Roman" w:cs="Times New Roman"/>
          <w:sz w:val="24"/>
          <w:szCs w:val="24"/>
          <w:lang w:eastAsia="en-ID"/>
        </w:rPr>
        <w:t xml:space="preserve"> Production of secondary metabolites by Actinomycetes and their biological applications: A review. </w:t>
      </w:r>
      <w:r w:rsidRPr="00292037">
        <w:rPr>
          <w:rFonts w:ascii="Times New Roman" w:eastAsia="Times New Roman" w:hAnsi="Times New Roman" w:cs="Times New Roman"/>
          <w:i/>
          <w:iCs/>
          <w:sz w:val="24"/>
          <w:szCs w:val="24"/>
          <w:lang w:eastAsia="en-ID"/>
        </w:rPr>
        <w:t>International Journal of Science, Technology, Engineering and Mathematics</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4</w:t>
      </w:r>
      <w:r w:rsidRPr="00292037">
        <w:rPr>
          <w:rFonts w:ascii="Times New Roman" w:eastAsia="Times New Roman" w:hAnsi="Times New Roman" w:cs="Times New Roman"/>
          <w:sz w:val="24"/>
          <w:szCs w:val="24"/>
          <w:lang w:eastAsia="en-ID"/>
        </w:rPr>
        <w:t xml:space="preserve">(3), 154-172. </w:t>
      </w:r>
      <w:hyperlink r:id="rId33" w:history="1">
        <w:r w:rsidRPr="00292037">
          <w:rPr>
            <w:rStyle w:val="Hyperlink"/>
            <w:rFonts w:ascii="Times New Roman" w:eastAsia="Times New Roman" w:hAnsi="Times New Roman" w:cs="Times New Roman"/>
            <w:color w:val="auto"/>
            <w:sz w:val="24"/>
            <w:szCs w:val="24"/>
            <w:lang w:eastAsia="en-ID"/>
          </w:rPr>
          <w:t>https://doi.org/10.53378/ijstem.353099</w:t>
        </w:r>
      </w:hyperlink>
      <w:r w:rsidRPr="00292037">
        <w:rPr>
          <w:rFonts w:ascii="Times New Roman" w:eastAsia="Times New Roman" w:hAnsi="Times New Roman" w:cs="Times New Roman"/>
          <w:sz w:val="24"/>
          <w:szCs w:val="24"/>
          <w:lang w:eastAsia="en-ID"/>
        </w:rPr>
        <w:t xml:space="preserve"> </w:t>
      </w:r>
    </w:p>
    <w:p w14:paraId="3DB1F517" w14:textId="7777777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780324">
        <w:rPr>
          <w:rFonts w:ascii="Times New Roman" w:eastAsia="Times New Roman" w:hAnsi="Times New Roman" w:cs="Times New Roman"/>
          <w:sz w:val="24"/>
          <w:szCs w:val="24"/>
          <w:lang w:val="sv-SE" w:eastAsia="en-ID"/>
        </w:rPr>
        <w:t xml:space="preserve">Mokhtar, M. N., Zakaria, R., &amp; Mohammed, M. A. P. (2024). </w:t>
      </w:r>
      <w:r w:rsidRPr="00292037">
        <w:rPr>
          <w:rFonts w:ascii="Times New Roman" w:eastAsia="Times New Roman" w:hAnsi="Times New Roman" w:cs="Times New Roman"/>
          <w:sz w:val="24"/>
          <w:szCs w:val="24"/>
          <w:lang w:eastAsia="en-ID"/>
        </w:rPr>
        <w:t>Optimizing Lactic Acid Production Through Dynamic Simulation in Repeated-Batch Fermentation System. </w:t>
      </w:r>
      <w:r w:rsidRPr="00292037">
        <w:rPr>
          <w:rFonts w:ascii="Times New Roman" w:eastAsia="Times New Roman" w:hAnsi="Times New Roman" w:cs="Times New Roman"/>
          <w:i/>
          <w:iCs/>
          <w:sz w:val="24"/>
          <w:szCs w:val="24"/>
          <w:lang w:eastAsia="en-ID"/>
        </w:rPr>
        <w:t>Advances in Agricultural and Food Research Journal</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5</w:t>
      </w:r>
      <w:r w:rsidRPr="00292037">
        <w:rPr>
          <w:rFonts w:ascii="Times New Roman" w:eastAsia="Times New Roman" w:hAnsi="Times New Roman" w:cs="Times New Roman"/>
          <w:sz w:val="24"/>
          <w:szCs w:val="24"/>
          <w:lang w:eastAsia="en-ID"/>
        </w:rPr>
        <w:t xml:space="preserve">(1). </w:t>
      </w:r>
      <w:hyperlink r:id="rId34" w:history="1">
        <w:r w:rsidRPr="00292037">
          <w:rPr>
            <w:rStyle w:val="Hyperlink"/>
            <w:rFonts w:ascii="Times New Roman" w:eastAsia="Times New Roman" w:hAnsi="Times New Roman" w:cs="Times New Roman"/>
            <w:color w:val="auto"/>
            <w:sz w:val="24"/>
            <w:szCs w:val="24"/>
            <w:lang w:eastAsia="en-ID"/>
          </w:rPr>
          <w:t>https://doi.org/10.36877/aafrj.a0000485</w:t>
        </w:r>
      </w:hyperlink>
      <w:r w:rsidRPr="00292037">
        <w:rPr>
          <w:rFonts w:ascii="Times New Roman" w:eastAsia="Times New Roman" w:hAnsi="Times New Roman" w:cs="Times New Roman"/>
          <w:sz w:val="24"/>
          <w:szCs w:val="24"/>
          <w:lang w:eastAsia="en-ID"/>
        </w:rPr>
        <w:t xml:space="preserve"> </w:t>
      </w:r>
    </w:p>
    <w:p w14:paraId="6F143926" w14:textId="5B6950DF" w:rsidR="00292037" w:rsidRPr="00292037" w:rsidRDefault="00292037" w:rsidP="00292037">
      <w:pPr>
        <w:spacing w:before="240" w:line="240" w:lineRule="auto"/>
        <w:ind w:left="851" w:hanging="851"/>
        <w:jc w:val="both"/>
        <w:rPr>
          <w:rFonts w:ascii="Times New Roman" w:hAnsi="Times New Roman" w:cs="Times New Roman"/>
          <w:sz w:val="24"/>
          <w:szCs w:val="24"/>
          <w:shd w:val="clear" w:color="auto" w:fill="FFFFFF"/>
        </w:rPr>
      </w:pPr>
      <w:r w:rsidRPr="00780324">
        <w:rPr>
          <w:rFonts w:ascii="Times New Roman" w:hAnsi="Times New Roman" w:cs="Times New Roman"/>
          <w:sz w:val="24"/>
          <w:szCs w:val="24"/>
          <w:shd w:val="clear" w:color="auto" w:fill="FFFFFF"/>
          <w:lang w:val="sv-SE"/>
        </w:rPr>
        <w:t xml:space="preserve">Moretta, A., Salvia, R., Scieuzo, C., Di Somma, A., Vogel, H., Pucci, P., &amp; Falabella, P. (2020). </w:t>
      </w:r>
      <w:r w:rsidRPr="00292037">
        <w:rPr>
          <w:rFonts w:ascii="Times New Roman" w:hAnsi="Times New Roman" w:cs="Times New Roman"/>
          <w:sz w:val="24"/>
          <w:szCs w:val="24"/>
          <w:shd w:val="clear" w:color="auto" w:fill="FFFFFF"/>
        </w:rPr>
        <w:t xml:space="preserve">A bioinformatic study of antimicrobial peptides identified in the Black Soldier Fly (BSF) </w:t>
      </w:r>
      <w:proofErr w:type="spellStart"/>
      <w:r w:rsidRPr="00292037">
        <w:rPr>
          <w:rFonts w:ascii="Times New Roman" w:hAnsi="Times New Roman" w:cs="Times New Roman"/>
          <w:sz w:val="24"/>
          <w:szCs w:val="24"/>
          <w:shd w:val="clear" w:color="auto" w:fill="FFFFFF"/>
        </w:rPr>
        <w:t>Hermetia</w:t>
      </w:r>
      <w:proofErr w:type="spellEnd"/>
      <w:r w:rsidRPr="00292037">
        <w:rPr>
          <w:rFonts w:ascii="Times New Roman" w:hAnsi="Times New Roman" w:cs="Times New Roman"/>
          <w:sz w:val="24"/>
          <w:szCs w:val="24"/>
          <w:shd w:val="clear" w:color="auto" w:fill="FFFFFF"/>
        </w:rPr>
        <w:t xml:space="preserve"> </w:t>
      </w:r>
      <w:proofErr w:type="spellStart"/>
      <w:r w:rsidRPr="00292037">
        <w:rPr>
          <w:rFonts w:ascii="Times New Roman" w:hAnsi="Times New Roman" w:cs="Times New Roman"/>
          <w:sz w:val="24"/>
          <w:szCs w:val="24"/>
          <w:shd w:val="clear" w:color="auto" w:fill="FFFFFF"/>
        </w:rPr>
        <w:t>illucens</w:t>
      </w:r>
      <w:proofErr w:type="spellEnd"/>
      <w:r w:rsidRPr="00292037">
        <w:rPr>
          <w:rFonts w:ascii="Times New Roman" w:hAnsi="Times New Roman" w:cs="Times New Roman"/>
          <w:sz w:val="24"/>
          <w:szCs w:val="24"/>
          <w:shd w:val="clear" w:color="auto" w:fill="FFFFFF"/>
        </w:rPr>
        <w:t xml:space="preserve"> (Diptera: Stratiomyidae). </w:t>
      </w:r>
      <w:r w:rsidRPr="00292037">
        <w:rPr>
          <w:rFonts w:ascii="Times New Roman" w:hAnsi="Times New Roman" w:cs="Times New Roman"/>
          <w:i/>
          <w:iCs/>
          <w:sz w:val="24"/>
          <w:szCs w:val="24"/>
          <w:shd w:val="clear" w:color="auto" w:fill="FFFFFF"/>
        </w:rPr>
        <w:t xml:space="preserve">Scientific </w:t>
      </w:r>
      <w:r w:rsidR="00780324">
        <w:rPr>
          <w:rFonts w:ascii="Times New Roman" w:hAnsi="Times New Roman" w:cs="Times New Roman"/>
          <w:i/>
          <w:iCs/>
          <w:sz w:val="24"/>
          <w:szCs w:val="24"/>
          <w:shd w:val="clear" w:color="auto" w:fill="FFFFFF"/>
        </w:rPr>
        <w:t>R</w:t>
      </w:r>
      <w:r w:rsidRPr="00292037">
        <w:rPr>
          <w:rFonts w:ascii="Times New Roman" w:hAnsi="Times New Roman" w:cs="Times New Roman"/>
          <w:i/>
          <w:iCs/>
          <w:sz w:val="24"/>
          <w:szCs w:val="24"/>
          <w:shd w:val="clear" w:color="auto" w:fill="FFFFFF"/>
        </w:rPr>
        <w:t>eports</w:t>
      </w:r>
      <w:r w:rsidRPr="00292037">
        <w:rPr>
          <w:rFonts w:ascii="Times New Roman" w:hAnsi="Times New Roman" w:cs="Times New Roman"/>
          <w:sz w:val="24"/>
          <w:szCs w:val="24"/>
          <w:shd w:val="clear" w:color="auto" w:fill="FFFFFF"/>
        </w:rPr>
        <w:t>, </w:t>
      </w:r>
      <w:r w:rsidRPr="00292037">
        <w:rPr>
          <w:rFonts w:ascii="Times New Roman" w:hAnsi="Times New Roman" w:cs="Times New Roman"/>
          <w:i/>
          <w:iCs/>
          <w:sz w:val="24"/>
          <w:szCs w:val="24"/>
          <w:shd w:val="clear" w:color="auto" w:fill="FFFFFF"/>
        </w:rPr>
        <w:t>10</w:t>
      </w:r>
      <w:r w:rsidRPr="00292037">
        <w:rPr>
          <w:rFonts w:ascii="Times New Roman" w:hAnsi="Times New Roman" w:cs="Times New Roman"/>
          <w:sz w:val="24"/>
          <w:szCs w:val="24"/>
          <w:shd w:val="clear" w:color="auto" w:fill="FFFFFF"/>
        </w:rPr>
        <w:t xml:space="preserve">(1), 16875. </w:t>
      </w:r>
      <w:hyperlink r:id="rId35" w:history="1">
        <w:r w:rsidRPr="00292037">
          <w:rPr>
            <w:rStyle w:val="Hyperlink"/>
            <w:rFonts w:ascii="Times New Roman" w:hAnsi="Times New Roman" w:cs="Times New Roman"/>
            <w:color w:val="auto"/>
            <w:sz w:val="24"/>
            <w:szCs w:val="24"/>
          </w:rPr>
          <w:t>https://doi.org/10.1038/s41598-020-74017-9</w:t>
        </w:r>
      </w:hyperlink>
      <w:r w:rsidRPr="00292037">
        <w:rPr>
          <w:rFonts w:ascii="Times New Roman" w:hAnsi="Times New Roman" w:cs="Times New Roman"/>
          <w:sz w:val="24"/>
          <w:szCs w:val="24"/>
        </w:rPr>
        <w:t xml:space="preserve"> </w:t>
      </w:r>
    </w:p>
    <w:p w14:paraId="75E15B64" w14:textId="77777777" w:rsidR="00292037" w:rsidRPr="00292037" w:rsidRDefault="00292037" w:rsidP="00292037">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Muhamad, A., Noor, S. F. M., Syahirah, N., Hamid, A. I., &amp; Zaidi, M. A. H. M. (2021). Physical factors optimization of saccharomyces cerevisiae fermentation to enhance production of bioethanol: a review. </w:t>
      </w:r>
      <w:r w:rsidRPr="00292037">
        <w:rPr>
          <w:rFonts w:ascii="Times New Roman" w:eastAsia="Times New Roman" w:hAnsi="Times New Roman" w:cs="Times New Roman"/>
          <w:i/>
          <w:iCs/>
          <w:sz w:val="24"/>
          <w:szCs w:val="24"/>
          <w:lang w:eastAsia="en-ID"/>
        </w:rPr>
        <w:t>Multidisciplinary Applied Research and Innovation</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2</w:t>
      </w:r>
      <w:r w:rsidRPr="00292037">
        <w:rPr>
          <w:rFonts w:ascii="Times New Roman" w:eastAsia="Times New Roman" w:hAnsi="Times New Roman" w:cs="Times New Roman"/>
          <w:sz w:val="24"/>
          <w:szCs w:val="24"/>
          <w:lang w:eastAsia="en-ID"/>
        </w:rPr>
        <w:t xml:space="preserve">(2), 266-277. </w:t>
      </w:r>
      <w:hyperlink r:id="rId36" w:history="1">
        <w:r w:rsidRPr="00292037">
          <w:rPr>
            <w:rStyle w:val="Hyperlink"/>
            <w:rFonts w:ascii="Times New Roman" w:eastAsia="Times New Roman" w:hAnsi="Times New Roman" w:cs="Times New Roman"/>
            <w:color w:val="auto"/>
            <w:sz w:val="24"/>
            <w:szCs w:val="24"/>
            <w:lang w:eastAsia="en-ID"/>
          </w:rPr>
          <w:t>https://publisher.uthm.edu.my/periodicals/index.php/mari/article/download/1849/665</w:t>
        </w:r>
      </w:hyperlink>
    </w:p>
    <w:p w14:paraId="617BFD71" w14:textId="2288E4D7" w:rsidR="00292037" w:rsidRPr="00292037" w:rsidRDefault="00292037" w:rsidP="00904043">
      <w:pPr>
        <w:spacing w:before="240" w:line="240" w:lineRule="auto"/>
        <w:ind w:left="851" w:hanging="851"/>
        <w:jc w:val="both"/>
        <w:rPr>
          <w:rFonts w:ascii="Times New Roman" w:eastAsia="Times New Roman" w:hAnsi="Times New Roman" w:cs="Times New Roman"/>
          <w:sz w:val="24"/>
          <w:szCs w:val="24"/>
          <w:lang w:eastAsia="en-ID"/>
        </w:rPr>
      </w:pPr>
      <w:r w:rsidRPr="00780324">
        <w:rPr>
          <w:rFonts w:ascii="Times New Roman" w:eastAsia="Times New Roman" w:hAnsi="Times New Roman" w:cs="Times New Roman"/>
          <w:sz w:val="24"/>
          <w:szCs w:val="24"/>
          <w:lang w:val="sv-SE" w:eastAsia="en-ID"/>
        </w:rPr>
        <w:t xml:space="preserve">Okaiyeto, S. A., Sutar, P. P., Chen, C., Ni, J. B., Wang, J., Mujumdar, A. S., &amp; Xiao, H. W. (2024). </w:t>
      </w:r>
      <w:r w:rsidRPr="00292037">
        <w:rPr>
          <w:rFonts w:ascii="Times New Roman" w:eastAsia="Times New Roman" w:hAnsi="Times New Roman" w:cs="Times New Roman"/>
          <w:sz w:val="24"/>
          <w:szCs w:val="24"/>
          <w:lang w:eastAsia="en-ID"/>
        </w:rPr>
        <w:t>Antibiotic resistant bacteria in food systems: Current status, resistance mechanisms, and mitigation strategies. </w:t>
      </w:r>
      <w:r w:rsidRPr="00292037">
        <w:rPr>
          <w:rFonts w:ascii="Times New Roman" w:eastAsia="Times New Roman" w:hAnsi="Times New Roman" w:cs="Times New Roman"/>
          <w:i/>
          <w:iCs/>
          <w:sz w:val="24"/>
          <w:szCs w:val="24"/>
          <w:lang w:eastAsia="en-ID"/>
        </w:rPr>
        <w:t>Agriculture Communications</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2</w:t>
      </w:r>
      <w:r w:rsidRPr="00292037">
        <w:rPr>
          <w:rFonts w:ascii="Times New Roman" w:eastAsia="Times New Roman" w:hAnsi="Times New Roman" w:cs="Times New Roman"/>
          <w:sz w:val="24"/>
          <w:szCs w:val="24"/>
          <w:lang w:eastAsia="en-ID"/>
        </w:rPr>
        <w:t xml:space="preserve">(1), 100027. </w:t>
      </w:r>
      <w:hyperlink r:id="rId37" w:history="1">
        <w:r w:rsidRPr="00292037">
          <w:rPr>
            <w:rStyle w:val="Hyperlink"/>
            <w:rFonts w:ascii="Times New Roman" w:eastAsia="Times New Roman" w:hAnsi="Times New Roman" w:cs="Times New Roman"/>
            <w:color w:val="auto"/>
            <w:sz w:val="24"/>
            <w:szCs w:val="24"/>
            <w:lang w:eastAsia="en-ID"/>
          </w:rPr>
          <w:t>https://doi.org/10.1016/j.agrcom.2024.100027</w:t>
        </w:r>
      </w:hyperlink>
    </w:p>
    <w:p w14:paraId="6CB6CA77" w14:textId="2D514F23" w:rsidR="00292037" w:rsidRPr="00292037" w:rsidRDefault="00292037" w:rsidP="00E35D65">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Okoye, C. O., Ezenwanne, B. C., &amp; Olasoji, O. (2025). Mechanisms of </w:t>
      </w:r>
      <w:r w:rsidR="00780324" w:rsidRPr="00292037">
        <w:rPr>
          <w:rFonts w:ascii="Times New Roman" w:eastAsia="Times New Roman" w:hAnsi="Times New Roman" w:cs="Times New Roman"/>
          <w:sz w:val="24"/>
          <w:szCs w:val="24"/>
          <w:lang w:eastAsia="en-ID"/>
        </w:rPr>
        <w:t>preservation by lactic acid bacteria in food fermentation</w:t>
      </w:r>
      <w:r w:rsidRPr="00292037">
        <w:rPr>
          <w:rFonts w:ascii="Times New Roman" w:eastAsia="Times New Roman" w:hAnsi="Times New Roman" w:cs="Times New Roman"/>
          <w:sz w:val="24"/>
          <w:szCs w:val="24"/>
          <w:lang w:eastAsia="en-ID"/>
        </w:rPr>
        <w:t xml:space="preserve">. </w:t>
      </w:r>
      <w:proofErr w:type="spellStart"/>
      <w:r w:rsidRPr="00292037">
        <w:rPr>
          <w:rFonts w:ascii="Times New Roman" w:eastAsia="Times New Roman" w:hAnsi="Times New Roman" w:cs="Times New Roman"/>
          <w:sz w:val="24"/>
          <w:szCs w:val="24"/>
          <w:lang w:eastAsia="en-ID"/>
        </w:rPr>
        <w:t>IntechOpen</w:t>
      </w:r>
      <w:proofErr w:type="spellEnd"/>
      <w:r w:rsidRPr="00292037">
        <w:rPr>
          <w:rFonts w:ascii="Times New Roman" w:eastAsia="Times New Roman" w:hAnsi="Times New Roman" w:cs="Times New Roman"/>
          <w:sz w:val="24"/>
          <w:szCs w:val="24"/>
          <w:lang w:eastAsia="en-ID"/>
        </w:rPr>
        <w:t>. https://doi.org/10.5772/intechopen.1011573</w:t>
      </w:r>
    </w:p>
    <w:p w14:paraId="3B821F15" w14:textId="77777777" w:rsidR="00292037" w:rsidRPr="00292037" w:rsidRDefault="00292037" w:rsidP="00292037">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lastRenderedPageBreak/>
        <w:t xml:space="preserve">Oliveira, R. A., Maciel Filho, R., &amp; Rossell, C. E. V. (2016). High lactic acid production from molasses </w:t>
      </w:r>
      <w:proofErr w:type="spellStart"/>
      <w:r w:rsidRPr="00292037">
        <w:rPr>
          <w:rFonts w:ascii="Times New Roman" w:eastAsia="Times New Roman" w:hAnsi="Times New Roman" w:cs="Times New Roman"/>
          <w:sz w:val="24"/>
          <w:szCs w:val="24"/>
          <w:lang w:eastAsia="en-ID"/>
        </w:rPr>
        <w:t>andhydrolysed</w:t>
      </w:r>
      <w:proofErr w:type="spellEnd"/>
      <w:r w:rsidRPr="00292037">
        <w:rPr>
          <w:rFonts w:ascii="Times New Roman" w:eastAsia="Times New Roman" w:hAnsi="Times New Roman" w:cs="Times New Roman"/>
          <w:sz w:val="24"/>
          <w:szCs w:val="24"/>
          <w:lang w:eastAsia="en-ID"/>
        </w:rPr>
        <w:t xml:space="preserve"> sugarcane bagasse. </w:t>
      </w:r>
      <w:r w:rsidRPr="00292037">
        <w:rPr>
          <w:rFonts w:ascii="Times New Roman" w:eastAsia="Times New Roman" w:hAnsi="Times New Roman" w:cs="Times New Roman"/>
          <w:i/>
          <w:iCs/>
          <w:sz w:val="24"/>
          <w:szCs w:val="24"/>
          <w:lang w:eastAsia="en-ID"/>
        </w:rPr>
        <w:t>Chemical Engineering</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50</w:t>
      </w:r>
      <w:r w:rsidRPr="00292037">
        <w:rPr>
          <w:rFonts w:ascii="Times New Roman" w:eastAsia="Times New Roman" w:hAnsi="Times New Roman" w:cs="Times New Roman"/>
          <w:sz w:val="24"/>
          <w:szCs w:val="24"/>
          <w:lang w:eastAsia="en-ID"/>
        </w:rPr>
        <w:t xml:space="preserve">. </w:t>
      </w:r>
      <w:hyperlink r:id="rId38" w:history="1">
        <w:r w:rsidRPr="00292037">
          <w:rPr>
            <w:rStyle w:val="Hyperlink"/>
            <w:rFonts w:ascii="Times New Roman" w:eastAsia="Times New Roman" w:hAnsi="Times New Roman" w:cs="Times New Roman"/>
            <w:color w:val="auto"/>
            <w:sz w:val="24"/>
            <w:szCs w:val="24"/>
            <w:lang w:eastAsia="en-ID"/>
          </w:rPr>
          <w:t>https://doi.org/</w:t>
        </w:r>
        <w:r w:rsidRPr="00292037">
          <w:rPr>
            <w:rStyle w:val="Hyperlink"/>
            <w:rFonts w:ascii="Times New Roman" w:hAnsi="Times New Roman" w:cs="Times New Roman"/>
            <w:color w:val="auto"/>
            <w:sz w:val="24"/>
            <w:szCs w:val="24"/>
          </w:rPr>
          <w:t>10.3303/CET1650052</w:t>
        </w:r>
      </w:hyperlink>
      <w:r w:rsidRPr="00292037">
        <w:rPr>
          <w:rFonts w:ascii="Times New Roman" w:hAnsi="Times New Roman" w:cs="Times New Roman"/>
          <w:sz w:val="24"/>
          <w:szCs w:val="24"/>
        </w:rPr>
        <w:t xml:space="preserve"> </w:t>
      </w:r>
    </w:p>
    <w:p w14:paraId="09EF392E" w14:textId="7E295D03" w:rsidR="00292037" w:rsidRPr="00292037" w:rsidRDefault="00292037" w:rsidP="00E35D65">
      <w:pPr>
        <w:spacing w:before="240" w:line="240" w:lineRule="auto"/>
        <w:ind w:left="851" w:hanging="851"/>
        <w:jc w:val="both"/>
        <w:rPr>
          <w:rFonts w:ascii="Times New Roman" w:eastAsia="Times New Roman" w:hAnsi="Times New Roman" w:cs="Times New Roman"/>
          <w:sz w:val="24"/>
          <w:szCs w:val="24"/>
          <w:lang w:eastAsia="en-ID"/>
        </w:rPr>
      </w:pPr>
      <w:r w:rsidRPr="0017451F">
        <w:rPr>
          <w:rFonts w:ascii="Times New Roman" w:eastAsia="Times New Roman" w:hAnsi="Times New Roman" w:cs="Times New Roman"/>
          <w:sz w:val="24"/>
          <w:szCs w:val="24"/>
          <w:lang w:val="pt-BR" w:eastAsia="en-ID"/>
        </w:rPr>
        <w:t xml:space="preserve">Pedrazzani, C., Righi, L., Vescovi, F., Maistrello, L., &amp; Caligiani, A. (2024). </w:t>
      </w:r>
      <w:r w:rsidRPr="00292037">
        <w:rPr>
          <w:rFonts w:ascii="Times New Roman" w:eastAsia="Times New Roman" w:hAnsi="Times New Roman" w:cs="Times New Roman"/>
          <w:sz w:val="24"/>
          <w:szCs w:val="24"/>
          <w:lang w:eastAsia="en-ID"/>
        </w:rPr>
        <w:t xml:space="preserve">Black soldier fly as a </w:t>
      </w:r>
      <w:proofErr w:type="gramStart"/>
      <w:r w:rsidRPr="00292037">
        <w:rPr>
          <w:rFonts w:ascii="Times New Roman" w:eastAsia="Times New Roman" w:hAnsi="Times New Roman" w:cs="Times New Roman"/>
          <w:sz w:val="24"/>
          <w:szCs w:val="24"/>
          <w:lang w:eastAsia="en-ID"/>
        </w:rPr>
        <w:t>New</w:t>
      </w:r>
      <w:proofErr w:type="gramEnd"/>
      <w:r w:rsidRPr="00292037">
        <w:rPr>
          <w:rFonts w:ascii="Times New Roman" w:eastAsia="Times New Roman" w:hAnsi="Times New Roman" w:cs="Times New Roman"/>
          <w:sz w:val="24"/>
          <w:szCs w:val="24"/>
          <w:lang w:eastAsia="en-ID"/>
        </w:rPr>
        <w:t xml:space="preserve"> chitin source: Extraction, purification and molecular/structural characterization. </w:t>
      </w:r>
      <w:r w:rsidRPr="00292037">
        <w:rPr>
          <w:rFonts w:ascii="Times New Roman" w:eastAsia="Times New Roman" w:hAnsi="Times New Roman" w:cs="Times New Roman"/>
          <w:i/>
          <w:iCs/>
          <w:sz w:val="24"/>
          <w:szCs w:val="24"/>
          <w:lang w:eastAsia="en-ID"/>
        </w:rPr>
        <w:t>L</w:t>
      </w:r>
      <w:r w:rsidR="00780324">
        <w:rPr>
          <w:rFonts w:ascii="Times New Roman" w:eastAsia="Times New Roman" w:hAnsi="Times New Roman" w:cs="Times New Roman"/>
          <w:i/>
          <w:iCs/>
          <w:sz w:val="24"/>
          <w:szCs w:val="24"/>
          <w:lang w:eastAsia="en-ID"/>
        </w:rPr>
        <w:t>WT</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191</w:t>
      </w:r>
      <w:r w:rsidRPr="00292037">
        <w:rPr>
          <w:rFonts w:ascii="Times New Roman" w:eastAsia="Times New Roman" w:hAnsi="Times New Roman" w:cs="Times New Roman"/>
          <w:sz w:val="24"/>
          <w:szCs w:val="24"/>
          <w:lang w:eastAsia="en-ID"/>
        </w:rPr>
        <w:t xml:space="preserve">, 115618. </w:t>
      </w:r>
      <w:hyperlink r:id="rId39" w:history="1">
        <w:r w:rsidRPr="00292037">
          <w:rPr>
            <w:rStyle w:val="Hyperlink"/>
            <w:rFonts w:ascii="Times New Roman" w:eastAsia="Times New Roman" w:hAnsi="Times New Roman" w:cs="Times New Roman"/>
            <w:color w:val="auto"/>
            <w:sz w:val="24"/>
            <w:szCs w:val="24"/>
            <w:lang w:eastAsia="en-ID"/>
          </w:rPr>
          <w:t>https://doi.org/10.1016/j.lwt.2023.115618</w:t>
        </w:r>
      </w:hyperlink>
    </w:p>
    <w:p w14:paraId="3971574D" w14:textId="525F178A" w:rsidR="00292037" w:rsidRPr="00292037" w:rsidRDefault="00292037" w:rsidP="00E35D65">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Peng, C., Ghanbari, M., May, A., &amp; Abeel, T. (2024). Effects of antibiotic growth promoter and its natural alternative on poultry cecum ecosystem: an integrated analysis of gut microbiota and host expression. </w:t>
      </w:r>
      <w:r w:rsidRPr="00292037">
        <w:rPr>
          <w:rFonts w:ascii="Times New Roman" w:eastAsia="Times New Roman" w:hAnsi="Times New Roman" w:cs="Times New Roman"/>
          <w:i/>
          <w:iCs/>
          <w:sz w:val="24"/>
          <w:szCs w:val="24"/>
          <w:lang w:eastAsia="en-ID"/>
        </w:rPr>
        <w:t xml:space="preserve">Frontiers in </w:t>
      </w:r>
      <w:r w:rsidR="00780324">
        <w:rPr>
          <w:rFonts w:ascii="Times New Roman" w:eastAsia="Times New Roman" w:hAnsi="Times New Roman" w:cs="Times New Roman"/>
          <w:i/>
          <w:iCs/>
          <w:sz w:val="24"/>
          <w:szCs w:val="24"/>
          <w:lang w:eastAsia="en-ID"/>
        </w:rPr>
        <w:t>M</w:t>
      </w:r>
      <w:r w:rsidRPr="00292037">
        <w:rPr>
          <w:rFonts w:ascii="Times New Roman" w:eastAsia="Times New Roman" w:hAnsi="Times New Roman" w:cs="Times New Roman"/>
          <w:i/>
          <w:iCs/>
          <w:sz w:val="24"/>
          <w:szCs w:val="24"/>
          <w:lang w:eastAsia="en-ID"/>
        </w:rPr>
        <w:t>icrobiology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15</w:t>
      </w:r>
      <w:r w:rsidRPr="00292037">
        <w:rPr>
          <w:rFonts w:ascii="Times New Roman" w:eastAsia="Times New Roman" w:hAnsi="Times New Roman" w:cs="Times New Roman"/>
          <w:sz w:val="24"/>
          <w:szCs w:val="24"/>
          <w:lang w:eastAsia="en-ID"/>
        </w:rPr>
        <w:t xml:space="preserve">, 1492270. </w:t>
      </w:r>
      <w:hyperlink r:id="rId40" w:history="1">
        <w:r w:rsidRPr="00292037">
          <w:rPr>
            <w:rStyle w:val="Hyperlink"/>
            <w:rFonts w:ascii="Times New Roman" w:eastAsia="Times New Roman" w:hAnsi="Times New Roman" w:cs="Times New Roman"/>
            <w:color w:val="auto"/>
            <w:sz w:val="24"/>
            <w:szCs w:val="24"/>
            <w:lang w:eastAsia="en-ID"/>
          </w:rPr>
          <w:t>https://doi.org/10.3389/fmicb.2024.1492270</w:t>
        </w:r>
      </w:hyperlink>
    </w:p>
    <w:p w14:paraId="4C2F0AA6" w14:textId="77777777" w:rsidR="00292037" w:rsidRPr="00292037" w:rsidRDefault="00292037" w:rsidP="00BD6A42">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Peralta, J. G. B., </w:t>
      </w:r>
      <w:proofErr w:type="spellStart"/>
      <w:r w:rsidRPr="00292037">
        <w:rPr>
          <w:rFonts w:ascii="Times New Roman" w:eastAsia="Times New Roman" w:hAnsi="Times New Roman" w:cs="Times New Roman"/>
          <w:sz w:val="24"/>
          <w:szCs w:val="24"/>
          <w:lang w:eastAsia="en-ID"/>
        </w:rPr>
        <w:t>Elegado</w:t>
      </w:r>
      <w:proofErr w:type="spellEnd"/>
      <w:r w:rsidRPr="00292037">
        <w:rPr>
          <w:rFonts w:ascii="Times New Roman" w:eastAsia="Times New Roman" w:hAnsi="Times New Roman" w:cs="Times New Roman"/>
          <w:sz w:val="24"/>
          <w:szCs w:val="24"/>
          <w:lang w:eastAsia="en-ID"/>
        </w:rPr>
        <w:t xml:space="preserve">, F. B., </w:t>
      </w:r>
      <w:proofErr w:type="spellStart"/>
      <w:r w:rsidRPr="00292037">
        <w:rPr>
          <w:rFonts w:ascii="Times New Roman" w:eastAsia="Times New Roman" w:hAnsi="Times New Roman" w:cs="Times New Roman"/>
          <w:sz w:val="24"/>
          <w:szCs w:val="24"/>
          <w:lang w:eastAsia="en-ID"/>
        </w:rPr>
        <w:t>Simbahan</w:t>
      </w:r>
      <w:proofErr w:type="spellEnd"/>
      <w:r w:rsidRPr="00292037">
        <w:rPr>
          <w:rFonts w:ascii="Times New Roman" w:eastAsia="Times New Roman" w:hAnsi="Times New Roman" w:cs="Times New Roman"/>
          <w:sz w:val="24"/>
          <w:szCs w:val="24"/>
          <w:lang w:eastAsia="en-ID"/>
        </w:rPr>
        <w:t>, J. F., Pajares, I. G., &amp; Dizon, E. I. (2021). Microbial and metabolite profiles of spontaneous and adjunct-inoculated cacao (</w:t>
      </w:r>
      <w:r w:rsidRPr="00292037">
        <w:rPr>
          <w:rFonts w:ascii="Times New Roman" w:eastAsia="Times New Roman" w:hAnsi="Times New Roman" w:cs="Times New Roman"/>
          <w:i/>
          <w:iCs/>
          <w:sz w:val="24"/>
          <w:szCs w:val="24"/>
          <w:lang w:eastAsia="en-ID"/>
        </w:rPr>
        <w:t xml:space="preserve">Theobroma cacao </w:t>
      </w:r>
      <w:r w:rsidRPr="00292037">
        <w:rPr>
          <w:rFonts w:ascii="Times New Roman" w:eastAsia="Times New Roman" w:hAnsi="Times New Roman" w:cs="Times New Roman"/>
          <w:sz w:val="24"/>
          <w:szCs w:val="24"/>
          <w:lang w:eastAsia="en-ID"/>
        </w:rPr>
        <w:t xml:space="preserve">L.) fermentation. </w:t>
      </w:r>
      <w:r w:rsidRPr="00292037">
        <w:rPr>
          <w:rFonts w:ascii="Times New Roman" w:eastAsia="Times New Roman" w:hAnsi="Times New Roman" w:cs="Times New Roman"/>
          <w:i/>
          <w:iCs/>
          <w:sz w:val="24"/>
          <w:szCs w:val="24"/>
          <w:lang w:eastAsia="en-ID"/>
        </w:rPr>
        <w:t>Food Research (Malaysia),</w:t>
      </w:r>
      <w:r w:rsidRPr="00292037">
        <w:rPr>
          <w:rFonts w:ascii="Times New Roman" w:eastAsia="Times New Roman" w:hAnsi="Times New Roman" w:cs="Times New Roman"/>
          <w:sz w:val="24"/>
          <w:szCs w:val="24"/>
          <w:lang w:eastAsia="en-ID"/>
        </w:rPr>
        <w:t xml:space="preserve"> </w:t>
      </w:r>
      <w:r w:rsidRPr="00292037">
        <w:rPr>
          <w:rFonts w:ascii="Times New Roman" w:eastAsia="Times New Roman" w:hAnsi="Times New Roman" w:cs="Times New Roman"/>
          <w:i/>
          <w:iCs/>
          <w:sz w:val="24"/>
          <w:szCs w:val="24"/>
          <w:lang w:eastAsia="en-ID"/>
        </w:rPr>
        <w:t>5</w:t>
      </w:r>
      <w:r w:rsidRPr="00292037">
        <w:rPr>
          <w:rFonts w:ascii="Times New Roman" w:eastAsia="Times New Roman" w:hAnsi="Times New Roman" w:cs="Times New Roman"/>
          <w:sz w:val="24"/>
          <w:szCs w:val="24"/>
          <w:lang w:eastAsia="en-ID"/>
        </w:rPr>
        <w:t xml:space="preserve">(2), 331–339. </w:t>
      </w:r>
      <w:hyperlink r:id="rId41" w:history="1">
        <w:r w:rsidRPr="00292037">
          <w:rPr>
            <w:rStyle w:val="Hyperlink"/>
            <w:rFonts w:ascii="Times New Roman" w:eastAsia="Times New Roman" w:hAnsi="Times New Roman" w:cs="Times New Roman"/>
            <w:color w:val="auto"/>
            <w:sz w:val="24"/>
            <w:szCs w:val="24"/>
            <w:lang w:eastAsia="en-ID"/>
          </w:rPr>
          <w:t>https://doi.org/10.26656/FR.2017.5(2).526</w:t>
        </w:r>
      </w:hyperlink>
    </w:p>
    <w:p w14:paraId="43B86ECD" w14:textId="77777777" w:rsidR="00292037" w:rsidRPr="00292037" w:rsidRDefault="00292037" w:rsidP="009100F5">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Shikuku, B. O., </w:t>
      </w:r>
      <w:proofErr w:type="spellStart"/>
      <w:r w:rsidRPr="00292037">
        <w:rPr>
          <w:rFonts w:ascii="Times New Roman" w:eastAsia="Times New Roman" w:hAnsi="Times New Roman" w:cs="Times New Roman"/>
          <w:sz w:val="24"/>
          <w:szCs w:val="24"/>
          <w:lang w:eastAsia="en-ID"/>
        </w:rPr>
        <w:t>Kiruki</w:t>
      </w:r>
      <w:proofErr w:type="spellEnd"/>
      <w:r w:rsidRPr="00292037">
        <w:rPr>
          <w:rFonts w:ascii="Times New Roman" w:eastAsia="Times New Roman" w:hAnsi="Times New Roman" w:cs="Times New Roman"/>
          <w:sz w:val="24"/>
          <w:szCs w:val="24"/>
          <w:lang w:eastAsia="en-ID"/>
        </w:rPr>
        <w:t xml:space="preserve">, S., Kuria, E., Mayo, D., &amp; Ogolla, F. O. (2023). Effect of pH, carbon and nitrogen sources on antibiotic production by Actinomycetes isolates from River Tana and Lake </w:t>
      </w:r>
      <w:proofErr w:type="spellStart"/>
      <w:r w:rsidRPr="00292037">
        <w:rPr>
          <w:rFonts w:ascii="Times New Roman" w:eastAsia="Times New Roman" w:hAnsi="Times New Roman" w:cs="Times New Roman"/>
          <w:sz w:val="24"/>
          <w:szCs w:val="24"/>
          <w:lang w:eastAsia="en-ID"/>
        </w:rPr>
        <w:t>Elementaita</w:t>
      </w:r>
      <w:proofErr w:type="spellEnd"/>
      <w:r w:rsidRPr="00292037">
        <w:rPr>
          <w:rFonts w:ascii="Times New Roman" w:eastAsia="Times New Roman" w:hAnsi="Times New Roman" w:cs="Times New Roman"/>
          <w:sz w:val="24"/>
          <w:szCs w:val="24"/>
          <w:lang w:eastAsia="en-ID"/>
        </w:rPr>
        <w:t>, Kenya. </w:t>
      </w:r>
      <w:r w:rsidRPr="00292037">
        <w:rPr>
          <w:rFonts w:ascii="Times New Roman" w:eastAsia="Times New Roman" w:hAnsi="Times New Roman" w:cs="Times New Roman"/>
          <w:i/>
          <w:iCs/>
          <w:sz w:val="24"/>
          <w:szCs w:val="24"/>
          <w:lang w:eastAsia="en-ID"/>
        </w:rPr>
        <w:t>Asian Journal of Research in Biochemistry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13</w:t>
      </w:r>
      <w:r w:rsidRPr="00292037">
        <w:rPr>
          <w:rFonts w:ascii="Times New Roman" w:eastAsia="Times New Roman" w:hAnsi="Times New Roman" w:cs="Times New Roman"/>
          <w:sz w:val="24"/>
          <w:szCs w:val="24"/>
          <w:lang w:eastAsia="en-ID"/>
        </w:rPr>
        <w:t xml:space="preserve">(1), 42-51. </w:t>
      </w:r>
      <w:hyperlink r:id="rId42" w:history="1">
        <w:r w:rsidRPr="00292037">
          <w:rPr>
            <w:rStyle w:val="Hyperlink"/>
            <w:rFonts w:ascii="Times New Roman" w:eastAsia="Times New Roman" w:hAnsi="Times New Roman" w:cs="Times New Roman"/>
            <w:color w:val="auto"/>
            <w:sz w:val="24"/>
            <w:szCs w:val="24"/>
            <w:lang w:eastAsia="en-ID"/>
          </w:rPr>
          <w:t>https://doi.org/10.9734/ajrb/2023/v13i1248</w:t>
        </w:r>
      </w:hyperlink>
    </w:p>
    <w:p w14:paraId="157F88EA" w14:textId="77777777" w:rsidR="00292037" w:rsidRPr="00780324" w:rsidRDefault="00292037" w:rsidP="00292037">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 </w:t>
      </w:r>
      <w:r w:rsidRPr="00780324">
        <w:rPr>
          <w:rFonts w:ascii="Times New Roman" w:eastAsia="Times New Roman" w:hAnsi="Times New Roman" w:cs="Times New Roman"/>
          <w:sz w:val="24"/>
          <w:szCs w:val="24"/>
          <w:lang w:val="sv-SE" w:eastAsia="en-ID"/>
        </w:rPr>
        <w:t xml:space="preserve">Tang, H., Huang, W., &amp; Yao, Y. F. (2023). </w:t>
      </w:r>
      <w:r w:rsidRPr="00292037">
        <w:rPr>
          <w:rFonts w:ascii="Times New Roman" w:eastAsia="Times New Roman" w:hAnsi="Times New Roman" w:cs="Times New Roman"/>
          <w:sz w:val="24"/>
          <w:szCs w:val="24"/>
          <w:lang w:eastAsia="en-ID"/>
        </w:rPr>
        <w:t>The metabolites of lactic acid bacteria: classification, biosynthesis and modulation of gut microbiota. </w:t>
      </w:r>
      <w:r w:rsidRPr="00292037">
        <w:rPr>
          <w:rFonts w:ascii="Times New Roman" w:eastAsia="Times New Roman" w:hAnsi="Times New Roman" w:cs="Times New Roman"/>
          <w:i/>
          <w:iCs/>
          <w:sz w:val="24"/>
          <w:szCs w:val="24"/>
          <w:lang w:eastAsia="en-ID"/>
        </w:rPr>
        <w:t>Microbial Cell</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10</w:t>
      </w:r>
      <w:r w:rsidRPr="00292037">
        <w:rPr>
          <w:rFonts w:ascii="Times New Roman" w:eastAsia="Times New Roman" w:hAnsi="Times New Roman" w:cs="Times New Roman"/>
          <w:sz w:val="24"/>
          <w:szCs w:val="24"/>
          <w:lang w:eastAsia="en-ID"/>
        </w:rPr>
        <w:t>(3), 49.</w:t>
      </w:r>
      <w:r w:rsidRPr="00780324">
        <w:rPr>
          <w:rFonts w:ascii="Times New Roman" w:eastAsia="Times New Roman" w:hAnsi="Times New Roman" w:cs="Times New Roman"/>
          <w:sz w:val="24"/>
          <w:szCs w:val="24"/>
          <w:lang w:eastAsia="en-ID"/>
        </w:rPr>
        <w:t xml:space="preserve"> </w:t>
      </w:r>
      <w:hyperlink r:id="rId43" w:history="1">
        <w:r w:rsidRPr="00780324">
          <w:rPr>
            <w:rStyle w:val="Hyperlink"/>
            <w:rFonts w:ascii="Times New Roman" w:eastAsia="Times New Roman" w:hAnsi="Times New Roman" w:cs="Times New Roman"/>
            <w:color w:val="auto"/>
            <w:sz w:val="24"/>
            <w:szCs w:val="24"/>
            <w:lang w:eastAsia="en-ID"/>
          </w:rPr>
          <w:t>https://doi.org/10.15698/mic2023.03.792</w:t>
        </w:r>
      </w:hyperlink>
      <w:r w:rsidRPr="00780324">
        <w:rPr>
          <w:rFonts w:ascii="Times New Roman" w:eastAsia="Times New Roman" w:hAnsi="Times New Roman" w:cs="Times New Roman"/>
          <w:sz w:val="24"/>
          <w:szCs w:val="24"/>
          <w:lang w:eastAsia="en-ID"/>
        </w:rPr>
        <w:t xml:space="preserve"> </w:t>
      </w:r>
    </w:p>
    <w:p w14:paraId="58B435B3" w14:textId="77777777" w:rsidR="00292037" w:rsidRPr="00292037" w:rsidRDefault="00292037" w:rsidP="00292037">
      <w:pPr>
        <w:spacing w:before="240" w:line="240" w:lineRule="auto"/>
        <w:ind w:left="851" w:hanging="851"/>
        <w:jc w:val="both"/>
        <w:rPr>
          <w:rFonts w:ascii="Times New Roman" w:eastAsia="Times New Roman" w:hAnsi="Times New Roman" w:cs="Times New Roman"/>
          <w:sz w:val="24"/>
          <w:szCs w:val="24"/>
          <w:u w:val="single"/>
          <w:lang w:eastAsia="en-ID"/>
        </w:rPr>
      </w:pPr>
      <w:r w:rsidRPr="00292037">
        <w:rPr>
          <w:rFonts w:ascii="Times New Roman" w:eastAsia="Times New Roman" w:hAnsi="Times New Roman" w:cs="Times New Roman"/>
          <w:sz w:val="24"/>
          <w:szCs w:val="24"/>
          <w:lang w:eastAsia="en-ID"/>
        </w:rPr>
        <w:t xml:space="preserve">Utari, T. A., Nugroho, J. E., </w:t>
      </w:r>
      <w:proofErr w:type="spellStart"/>
      <w:r w:rsidRPr="00292037">
        <w:rPr>
          <w:rFonts w:ascii="Times New Roman" w:eastAsia="Times New Roman" w:hAnsi="Times New Roman" w:cs="Times New Roman"/>
          <w:sz w:val="24"/>
          <w:szCs w:val="24"/>
          <w:lang w:eastAsia="en-ID"/>
        </w:rPr>
        <w:t>Erlangga</w:t>
      </w:r>
      <w:proofErr w:type="spellEnd"/>
      <w:r w:rsidRPr="00292037">
        <w:rPr>
          <w:rFonts w:ascii="Times New Roman" w:eastAsia="Times New Roman" w:hAnsi="Times New Roman" w:cs="Times New Roman"/>
          <w:sz w:val="24"/>
          <w:szCs w:val="24"/>
          <w:lang w:eastAsia="en-ID"/>
        </w:rPr>
        <w:t xml:space="preserve">, K., Martin, R. S. H., </w:t>
      </w:r>
      <w:proofErr w:type="spellStart"/>
      <w:r w:rsidRPr="00292037">
        <w:rPr>
          <w:rFonts w:ascii="Times New Roman" w:eastAsia="Times New Roman" w:hAnsi="Times New Roman" w:cs="Times New Roman"/>
          <w:sz w:val="24"/>
          <w:szCs w:val="24"/>
          <w:lang w:eastAsia="en-ID"/>
        </w:rPr>
        <w:t>Shofiah</w:t>
      </w:r>
      <w:proofErr w:type="spellEnd"/>
      <w:r w:rsidRPr="00292037">
        <w:rPr>
          <w:rFonts w:ascii="Times New Roman" w:eastAsia="Times New Roman" w:hAnsi="Times New Roman" w:cs="Times New Roman"/>
          <w:sz w:val="24"/>
          <w:szCs w:val="24"/>
          <w:lang w:eastAsia="en-ID"/>
        </w:rPr>
        <w:t xml:space="preserve">, M., &amp; </w:t>
      </w:r>
      <w:proofErr w:type="spellStart"/>
      <w:r w:rsidRPr="00292037">
        <w:rPr>
          <w:rFonts w:ascii="Times New Roman" w:eastAsia="Times New Roman" w:hAnsi="Times New Roman" w:cs="Times New Roman"/>
          <w:sz w:val="24"/>
          <w:szCs w:val="24"/>
          <w:lang w:eastAsia="en-ID"/>
        </w:rPr>
        <w:t>Nahrowi</w:t>
      </w:r>
      <w:proofErr w:type="spellEnd"/>
      <w:r w:rsidRPr="00292037">
        <w:rPr>
          <w:rFonts w:ascii="Times New Roman" w:eastAsia="Times New Roman" w:hAnsi="Times New Roman" w:cs="Times New Roman"/>
          <w:sz w:val="24"/>
          <w:szCs w:val="24"/>
          <w:lang w:eastAsia="en-ID"/>
        </w:rPr>
        <w:t>, N. (2024). Utilization of Black Soldier Fly larvae juice as a probiotic supplement for broiler chickens: Effect on performance, immunity, haematology, and economic feasibility. In </w:t>
      </w:r>
      <w:r w:rsidRPr="00292037">
        <w:rPr>
          <w:rFonts w:ascii="Times New Roman" w:eastAsia="Times New Roman" w:hAnsi="Times New Roman" w:cs="Times New Roman"/>
          <w:i/>
          <w:iCs/>
          <w:sz w:val="24"/>
          <w:szCs w:val="24"/>
          <w:lang w:eastAsia="en-ID"/>
        </w:rPr>
        <w:t>BIO Web of Conferences</w:t>
      </w:r>
      <w:r w:rsidRPr="00292037">
        <w:rPr>
          <w:rFonts w:ascii="Times New Roman" w:eastAsia="Times New Roman" w:hAnsi="Times New Roman" w:cs="Times New Roman"/>
          <w:sz w:val="24"/>
          <w:szCs w:val="24"/>
          <w:lang w:eastAsia="en-ID"/>
        </w:rPr>
        <w:t xml:space="preserve"> (Vol. 123, p. 01003). EDP Sciences. </w:t>
      </w:r>
      <w:hyperlink r:id="rId44" w:history="1">
        <w:r w:rsidRPr="00292037">
          <w:rPr>
            <w:rStyle w:val="Hyperlink"/>
            <w:rFonts w:ascii="Times New Roman" w:eastAsia="Times New Roman" w:hAnsi="Times New Roman" w:cs="Times New Roman"/>
            <w:color w:val="auto"/>
            <w:sz w:val="24"/>
            <w:szCs w:val="24"/>
            <w:lang w:eastAsia="en-ID"/>
          </w:rPr>
          <w:t>https://doi.org/10.1051/bioconf/202412301003</w:t>
        </w:r>
      </w:hyperlink>
      <w:r w:rsidRPr="00292037">
        <w:rPr>
          <w:rFonts w:ascii="Times New Roman" w:eastAsia="Times New Roman" w:hAnsi="Times New Roman" w:cs="Times New Roman"/>
          <w:sz w:val="24"/>
          <w:szCs w:val="24"/>
          <w:lang w:eastAsia="en-ID"/>
        </w:rPr>
        <w:t xml:space="preserve"> </w:t>
      </w:r>
    </w:p>
    <w:p w14:paraId="147CF2D1" w14:textId="77777777" w:rsidR="00292037" w:rsidRPr="00292037" w:rsidRDefault="00292037" w:rsidP="00C33F02">
      <w:pPr>
        <w:spacing w:before="240" w:line="240" w:lineRule="auto"/>
        <w:ind w:left="851" w:hanging="851"/>
        <w:jc w:val="both"/>
        <w:rPr>
          <w:rFonts w:ascii="Times New Roman" w:eastAsia="Times New Roman" w:hAnsi="Times New Roman" w:cs="Times New Roman"/>
          <w:sz w:val="24"/>
          <w:szCs w:val="24"/>
          <w:lang w:eastAsia="en-ID"/>
        </w:rPr>
      </w:pPr>
      <w:r w:rsidRPr="00780324">
        <w:rPr>
          <w:rFonts w:ascii="Times New Roman" w:eastAsia="Times New Roman" w:hAnsi="Times New Roman" w:cs="Times New Roman"/>
          <w:sz w:val="24"/>
          <w:szCs w:val="24"/>
          <w:lang w:val="en-US" w:eastAsia="en-ID"/>
        </w:rPr>
        <w:t xml:space="preserve"> </w:t>
      </w:r>
      <w:r w:rsidRPr="00780324">
        <w:rPr>
          <w:rFonts w:ascii="Times New Roman" w:eastAsia="Times New Roman" w:hAnsi="Times New Roman" w:cs="Times New Roman"/>
          <w:sz w:val="24"/>
          <w:szCs w:val="24"/>
          <w:lang w:val="pt-BR" w:eastAsia="en-ID"/>
        </w:rPr>
        <w:t xml:space="preserve">Vera-Peña, M. Y., Hernández-García, H., &amp; Valencia-García, F. E. (2022). </w:t>
      </w:r>
      <w:r w:rsidRPr="00292037">
        <w:rPr>
          <w:rFonts w:ascii="Times New Roman" w:eastAsia="Times New Roman" w:hAnsi="Times New Roman" w:cs="Times New Roman"/>
          <w:sz w:val="24"/>
          <w:szCs w:val="24"/>
          <w:lang w:eastAsia="en-ID"/>
        </w:rPr>
        <w:t xml:space="preserve">Kinetic </w:t>
      </w:r>
      <w:proofErr w:type="spellStart"/>
      <w:r w:rsidRPr="00292037">
        <w:rPr>
          <w:rFonts w:ascii="Times New Roman" w:eastAsia="Times New Roman" w:hAnsi="Times New Roman" w:cs="Times New Roman"/>
          <w:sz w:val="24"/>
          <w:szCs w:val="24"/>
          <w:lang w:eastAsia="en-ID"/>
        </w:rPr>
        <w:t>modeling</w:t>
      </w:r>
      <w:proofErr w:type="spellEnd"/>
      <w:r w:rsidRPr="00292037">
        <w:rPr>
          <w:rFonts w:ascii="Times New Roman" w:eastAsia="Times New Roman" w:hAnsi="Times New Roman" w:cs="Times New Roman"/>
          <w:sz w:val="24"/>
          <w:szCs w:val="24"/>
          <w:lang w:eastAsia="en-ID"/>
        </w:rPr>
        <w:t xml:space="preserve"> of lactic acid production, co-substrate consumptions and growth in </w:t>
      </w:r>
      <w:proofErr w:type="spellStart"/>
      <w:r w:rsidRPr="00292037">
        <w:rPr>
          <w:rFonts w:ascii="Times New Roman" w:eastAsia="Times New Roman" w:hAnsi="Times New Roman" w:cs="Times New Roman"/>
          <w:sz w:val="24"/>
          <w:szCs w:val="24"/>
          <w:lang w:eastAsia="en-ID"/>
        </w:rPr>
        <w:t>Lactiplantibacillus</w:t>
      </w:r>
      <w:proofErr w:type="spellEnd"/>
      <w:r w:rsidRPr="00292037">
        <w:rPr>
          <w:rFonts w:ascii="Times New Roman" w:eastAsia="Times New Roman" w:hAnsi="Times New Roman" w:cs="Times New Roman"/>
          <w:sz w:val="24"/>
          <w:szCs w:val="24"/>
          <w:lang w:eastAsia="en-ID"/>
        </w:rPr>
        <w:t xml:space="preserve"> plantarum 60-1. </w:t>
      </w:r>
      <w:r w:rsidRPr="00292037">
        <w:rPr>
          <w:rFonts w:ascii="Times New Roman" w:eastAsia="Times New Roman" w:hAnsi="Times New Roman" w:cs="Times New Roman"/>
          <w:i/>
          <w:iCs/>
          <w:sz w:val="24"/>
          <w:szCs w:val="24"/>
          <w:lang w:eastAsia="en-ID"/>
        </w:rPr>
        <w:t>Dyna</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89</w:t>
      </w:r>
      <w:r w:rsidRPr="00292037">
        <w:rPr>
          <w:rFonts w:ascii="Times New Roman" w:eastAsia="Times New Roman" w:hAnsi="Times New Roman" w:cs="Times New Roman"/>
          <w:sz w:val="24"/>
          <w:szCs w:val="24"/>
          <w:lang w:eastAsia="en-ID"/>
        </w:rPr>
        <w:t xml:space="preserve">(224), 50-57. </w:t>
      </w:r>
      <w:hyperlink r:id="rId45" w:history="1">
        <w:r w:rsidRPr="00292037">
          <w:rPr>
            <w:rStyle w:val="Hyperlink"/>
            <w:rFonts w:ascii="Times New Roman" w:eastAsia="Times New Roman" w:hAnsi="Times New Roman" w:cs="Times New Roman"/>
            <w:color w:val="auto"/>
            <w:sz w:val="24"/>
            <w:szCs w:val="24"/>
            <w:lang w:eastAsia="en-ID"/>
          </w:rPr>
          <w:t>https://doi.org/10.15446/dyna.v89n224.102243</w:t>
        </w:r>
      </w:hyperlink>
    </w:p>
    <w:p w14:paraId="187BE6CA" w14:textId="77777777" w:rsidR="00292037" w:rsidRPr="00292037" w:rsidRDefault="00292037" w:rsidP="00C33F02">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Vidra, A., Tóth, A. J., &amp; Németh, Á. (2017). Lactic acid production from cane molasses. </w:t>
      </w:r>
      <w:r w:rsidRPr="00292037">
        <w:rPr>
          <w:rFonts w:ascii="Times New Roman" w:eastAsia="Times New Roman" w:hAnsi="Times New Roman" w:cs="Times New Roman"/>
          <w:i/>
          <w:iCs/>
          <w:sz w:val="24"/>
          <w:szCs w:val="24"/>
          <w:lang w:eastAsia="en-ID"/>
        </w:rPr>
        <w:t>Liquid Waste Recovery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2</w:t>
      </w:r>
      <w:r w:rsidRPr="00292037">
        <w:rPr>
          <w:rFonts w:ascii="Times New Roman" w:eastAsia="Times New Roman" w:hAnsi="Times New Roman" w:cs="Times New Roman"/>
          <w:sz w:val="24"/>
          <w:szCs w:val="24"/>
          <w:lang w:eastAsia="en-ID"/>
        </w:rPr>
        <w:t xml:space="preserve">(1), 13-16. </w:t>
      </w:r>
      <w:hyperlink r:id="rId46" w:history="1">
        <w:r w:rsidRPr="00292037">
          <w:rPr>
            <w:rStyle w:val="Hyperlink"/>
            <w:rFonts w:ascii="Times New Roman" w:eastAsia="Times New Roman" w:hAnsi="Times New Roman" w:cs="Times New Roman"/>
            <w:color w:val="auto"/>
            <w:sz w:val="24"/>
            <w:szCs w:val="24"/>
            <w:lang w:eastAsia="en-ID"/>
          </w:rPr>
          <w:t>https://doi.org/10.1515/LWR-2017-0003</w:t>
        </w:r>
      </w:hyperlink>
    </w:p>
    <w:p w14:paraId="645182F6" w14:textId="77777777" w:rsidR="00292037" w:rsidRPr="00292037" w:rsidRDefault="00292037" w:rsidP="00C33F02">
      <w:pPr>
        <w:spacing w:before="240" w:line="240" w:lineRule="auto"/>
        <w:ind w:left="851" w:hanging="851"/>
        <w:jc w:val="both"/>
        <w:rPr>
          <w:rFonts w:ascii="Times New Roman" w:eastAsia="Times New Roman" w:hAnsi="Times New Roman" w:cs="Times New Roman"/>
          <w:sz w:val="24"/>
          <w:szCs w:val="24"/>
          <w:lang w:eastAsia="en-ID"/>
        </w:rPr>
      </w:pPr>
      <w:proofErr w:type="spellStart"/>
      <w:r w:rsidRPr="00292037">
        <w:rPr>
          <w:rFonts w:ascii="Times New Roman" w:eastAsia="Times New Roman" w:hAnsi="Times New Roman" w:cs="Times New Roman"/>
          <w:sz w:val="24"/>
          <w:szCs w:val="24"/>
          <w:lang w:eastAsia="en-ID"/>
        </w:rPr>
        <w:t>Villéger</w:t>
      </w:r>
      <w:proofErr w:type="spellEnd"/>
      <w:r w:rsidRPr="00292037">
        <w:rPr>
          <w:rFonts w:ascii="Times New Roman" w:eastAsia="Times New Roman" w:hAnsi="Times New Roman" w:cs="Times New Roman"/>
          <w:sz w:val="24"/>
          <w:szCs w:val="24"/>
          <w:lang w:eastAsia="en-ID"/>
        </w:rPr>
        <w:t xml:space="preserve">, R., </w:t>
      </w:r>
      <w:proofErr w:type="spellStart"/>
      <w:r w:rsidRPr="00292037">
        <w:rPr>
          <w:rFonts w:ascii="Times New Roman" w:eastAsia="Times New Roman" w:hAnsi="Times New Roman" w:cs="Times New Roman"/>
          <w:sz w:val="24"/>
          <w:szCs w:val="24"/>
          <w:lang w:eastAsia="en-ID"/>
        </w:rPr>
        <w:t>Cachon</w:t>
      </w:r>
      <w:proofErr w:type="spellEnd"/>
      <w:r w:rsidRPr="00292037">
        <w:rPr>
          <w:rFonts w:ascii="Times New Roman" w:eastAsia="Times New Roman" w:hAnsi="Times New Roman" w:cs="Times New Roman"/>
          <w:sz w:val="24"/>
          <w:szCs w:val="24"/>
          <w:lang w:eastAsia="en-ID"/>
        </w:rPr>
        <w:t xml:space="preserve">, R., &amp; </w:t>
      </w:r>
      <w:proofErr w:type="spellStart"/>
      <w:r w:rsidRPr="00292037">
        <w:rPr>
          <w:rFonts w:ascii="Times New Roman" w:eastAsia="Times New Roman" w:hAnsi="Times New Roman" w:cs="Times New Roman"/>
          <w:sz w:val="24"/>
          <w:szCs w:val="24"/>
          <w:lang w:eastAsia="en-ID"/>
        </w:rPr>
        <w:t>Urdaci</w:t>
      </w:r>
      <w:proofErr w:type="spellEnd"/>
      <w:r w:rsidRPr="00292037">
        <w:rPr>
          <w:rFonts w:ascii="Times New Roman" w:eastAsia="Times New Roman" w:hAnsi="Times New Roman" w:cs="Times New Roman"/>
          <w:sz w:val="24"/>
          <w:szCs w:val="24"/>
          <w:lang w:eastAsia="en-ID"/>
        </w:rPr>
        <w:t>, M. C. (2017). Fermented foods: Microbiology, biochemistry and biotechnology. In </w:t>
      </w:r>
      <w:r w:rsidRPr="00292037">
        <w:rPr>
          <w:rFonts w:ascii="Times New Roman" w:eastAsia="Times New Roman" w:hAnsi="Times New Roman" w:cs="Times New Roman"/>
          <w:i/>
          <w:iCs/>
          <w:sz w:val="24"/>
          <w:szCs w:val="24"/>
          <w:lang w:eastAsia="en-ID"/>
        </w:rPr>
        <w:t>Fermented Foods, Part II</w:t>
      </w:r>
      <w:r w:rsidRPr="00292037">
        <w:rPr>
          <w:rFonts w:ascii="Times New Roman" w:eastAsia="Times New Roman" w:hAnsi="Times New Roman" w:cs="Times New Roman"/>
          <w:sz w:val="24"/>
          <w:szCs w:val="24"/>
          <w:lang w:eastAsia="en-ID"/>
        </w:rPr>
        <w:t xml:space="preserve"> (pp. 1-20). CRC Press. </w:t>
      </w:r>
      <w:hyperlink r:id="rId47" w:history="1">
        <w:r w:rsidRPr="00292037">
          <w:rPr>
            <w:rStyle w:val="Hyperlink"/>
            <w:rFonts w:ascii="Times New Roman" w:eastAsia="Times New Roman" w:hAnsi="Times New Roman" w:cs="Times New Roman"/>
            <w:color w:val="auto"/>
            <w:sz w:val="24"/>
            <w:szCs w:val="24"/>
            <w:lang w:eastAsia="en-ID"/>
          </w:rPr>
          <w:t>https://doi.org/10.1201/9781315205359-1</w:t>
        </w:r>
      </w:hyperlink>
    </w:p>
    <w:p w14:paraId="2619FE52" w14:textId="13BA6D70" w:rsidR="00292037" w:rsidRPr="00292037" w:rsidRDefault="00292037" w:rsidP="00C33F02">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t xml:space="preserve">Xia, S., Ye, G., &amp; Li, J. Study on </w:t>
      </w:r>
      <w:r w:rsidR="00780324" w:rsidRPr="00292037">
        <w:rPr>
          <w:rFonts w:ascii="Times New Roman" w:eastAsia="Times New Roman" w:hAnsi="Times New Roman" w:cs="Times New Roman"/>
          <w:sz w:val="24"/>
          <w:szCs w:val="24"/>
          <w:lang w:eastAsia="en-ID"/>
        </w:rPr>
        <w:t>enhancement of acid production by combination fermentation of caproic acid-producing bacteria and lactic acid-producing bacteria</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Academic Journal of Science and Technology</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11</w:t>
      </w:r>
      <w:r w:rsidRPr="00292037">
        <w:rPr>
          <w:rFonts w:ascii="Times New Roman" w:eastAsia="Times New Roman" w:hAnsi="Times New Roman" w:cs="Times New Roman"/>
          <w:sz w:val="24"/>
          <w:szCs w:val="24"/>
          <w:lang w:eastAsia="en-ID"/>
        </w:rPr>
        <w:t xml:space="preserve">(2), 2024. </w:t>
      </w:r>
      <w:hyperlink r:id="rId48" w:history="1">
        <w:r w:rsidRPr="00292037">
          <w:rPr>
            <w:rStyle w:val="Hyperlink"/>
            <w:rFonts w:ascii="Times New Roman" w:eastAsia="Times New Roman" w:hAnsi="Times New Roman" w:cs="Times New Roman"/>
            <w:color w:val="auto"/>
            <w:sz w:val="24"/>
            <w:szCs w:val="24"/>
            <w:lang w:eastAsia="en-ID"/>
          </w:rPr>
          <w:t>https://doi.org/10.54097/2h8qwd88</w:t>
        </w:r>
      </w:hyperlink>
    </w:p>
    <w:p w14:paraId="4E3E594B" w14:textId="77777777" w:rsidR="00292037" w:rsidRPr="00292037" w:rsidRDefault="00292037" w:rsidP="00C33F02">
      <w:pPr>
        <w:spacing w:before="240" w:line="240" w:lineRule="auto"/>
        <w:ind w:left="851" w:hanging="851"/>
        <w:jc w:val="both"/>
        <w:rPr>
          <w:rFonts w:ascii="Times New Roman" w:eastAsia="Times New Roman" w:hAnsi="Times New Roman" w:cs="Times New Roman"/>
          <w:sz w:val="24"/>
          <w:szCs w:val="24"/>
          <w:lang w:eastAsia="en-ID"/>
        </w:rPr>
      </w:pPr>
      <w:r w:rsidRPr="00292037">
        <w:rPr>
          <w:rFonts w:ascii="Times New Roman" w:eastAsia="Times New Roman" w:hAnsi="Times New Roman" w:cs="Times New Roman"/>
          <w:sz w:val="24"/>
          <w:szCs w:val="24"/>
          <w:lang w:eastAsia="en-ID"/>
        </w:rPr>
        <w:lastRenderedPageBreak/>
        <w:t>Zhang, Y., Kang, J., Han, B. Z., &amp; Chen, X. (2024). Wheat-origin Bacillus community drives the formation of characteristic metabolic profile in high-temperature Daqu. </w:t>
      </w:r>
      <w:r w:rsidRPr="00292037">
        <w:rPr>
          <w:rFonts w:ascii="Times New Roman" w:eastAsia="Times New Roman" w:hAnsi="Times New Roman" w:cs="Times New Roman"/>
          <w:i/>
          <w:iCs/>
          <w:sz w:val="24"/>
          <w:szCs w:val="24"/>
          <w:lang w:eastAsia="en-ID"/>
        </w:rPr>
        <w:t>LWT</w:t>
      </w:r>
      <w:r w:rsidRPr="00292037">
        <w:rPr>
          <w:rFonts w:ascii="Times New Roman" w:eastAsia="Times New Roman" w:hAnsi="Times New Roman" w:cs="Times New Roman"/>
          <w:sz w:val="24"/>
          <w:szCs w:val="24"/>
          <w:lang w:eastAsia="en-ID"/>
        </w:rPr>
        <w:t>, </w:t>
      </w:r>
      <w:r w:rsidRPr="00292037">
        <w:rPr>
          <w:rFonts w:ascii="Times New Roman" w:eastAsia="Times New Roman" w:hAnsi="Times New Roman" w:cs="Times New Roman"/>
          <w:i/>
          <w:iCs/>
          <w:sz w:val="24"/>
          <w:szCs w:val="24"/>
          <w:lang w:eastAsia="en-ID"/>
        </w:rPr>
        <w:t>191</w:t>
      </w:r>
      <w:r w:rsidRPr="00292037">
        <w:rPr>
          <w:rFonts w:ascii="Times New Roman" w:eastAsia="Times New Roman" w:hAnsi="Times New Roman" w:cs="Times New Roman"/>
          <w:sz w:val="24"/>
          <w:szCs w:val="24"/>
          <w:lang w:eastAsia="en-ID"/>
        </w:rPr>
        <w:t xml:space="preserve">, 115597. </w:t>
      </w:r>
      <w:hyperlink r:id="rId49" w:history="1">
        <w:r w:rsidRPr="00292037">
          <w:rPr>
            <w:rStyle w:val="Hyperlink"/>
            <w:rFonts w:ascii="Times New Roman" w:eastAsia="Times New Roman" w:hAnsi="Times New Roman" w:cs="Times New Roman"/>
            <w:color w:val="auto"/>
            <w:sz w:val="24"/>
            <w:szCs w:val="24"/>
            <w:lang w:eastAsia="en-ID"/>
          </w:rPr>
          <w:t>https://doi.org/10.2139/ssrn.4589233</w:t>
        </w:r>
      </w:hyperlink>
      <w:r w:rsidRPr="00292037">
        <w:rPr>
          <w:rFonts w:ascii="Times New Roman" w:eastAsia="Times New Roman" w:hAnsi="Times New Roman" w:cs="Times New Roman"/>
          <w:sz w:val="24"/>
          <w:szCs w:val="24"/>
          <w:lang w:eastAsia="en-ID"/>
        </w:rPr>
        <w:t xml:space="preserve"> </w:t>
      </w:r>
    </w:p>
    <w:p w14:paraId="48F4735A" w14:textId="28F0B131" w:rsidR="00292037" w:rsidRPr="00292037" w:rsidRDefault="00292037" w:rsidP="00292037">
      <w:pPr>
        <w:spacing w:before="240" w:line="240" w:lineRule="auto"/>
        <w:ind w:left="851" w:hanging="851"/>
        <w:jc w:val="both"/>
        <w:rPr>
          <w:rFonts w:ascii="Times New Roman" w:hAnsi="Times New Roman" w:cs="Times New Roman"/>
          <w:sz w:val="24"/>
          <w:szCs w:val="24"/>
          <w:shd w:val="clear" w:color="auto" w:fill="FFFFFF"/>
          <w:lang w:val="en-US"/>
        </w:rPr>
      </w:pPr>
      <w:r w:rsidRPr="00292037">
        <w:rPr>
          <w:rFonts w:ascii="Times New Roman" w:hAnsi="Times New Roman" w:cs="Times New Roman"/>
          <w:sz w:val="24"/>
          <w:szCs w:val="24"/>
          <w:shd w:val="clear" w:color="auto" w:fill="FFFFFF"/>
        </w:rPr>
        <w:t xml:space="preserve">Zheng, L., Crippen, T. L., Holmes, L., Singh, B., </w:t>
      </w:r>
      <w:proofErr w:type="spellStart"/>
      <w:r w:rsidRPr="00292037">
        <w:rPr>
          <w:rFonts w:ascii="Times New Roman" w:hAnsi="Times New Roman" w:cs="Times New Roman"/>
          <w:sz w:val="24"/>
          <w:szCs w:val="24"/>
          <w:shd w:val="clear" w:color="auto" w:fill="FFFFFF"/>
        </w:rPr>
        <w:t>Pimsler</w:t>
      </w:r>
      <w:proofErr w:type="spellEnd"/>
      <w:r w:rsidRPr="00292037">
        <w:rPr>
          <w:rFonts w:ascii="Times New Roman" w:hAnsi="Times New Roman" w:cs="Times New Roman"/>
          <w:sz w:val="24"/>
          <w:szCs w:val="24"/>
          <w:shd w:val="clear" w:color="auto" w:fill="FFFFFF"/>
        </w:rPr>
        <w:t xml:space="preserve">, M. L., Benbow, M. E., &amp; Tomberlin, J. K. (2013). Bacteria mediate oviposition by the black soldier fly, </w:t>
      </w:r>
      <w:proofErr w:type="spellStart"/>
      <w:r w:rsidRPr="00292037">
        <w:rPr>
          <w:rFonts w:ascii="Times New Roman" w:hAnsi="Times New Roman" w:cs="Times New Roman"/>
          <w:i/>
          <w:iCs/>
          <w:sz w:val="24"/>
          <w:szCs w:val="24"/>
          <w:shd w:val="clear" w:color="auto" w:fill="FFFFFF"/>
        </w:rPr>
        <w:t>Hermetia</w:t>
      </w:r>
      <w:proofErr w:type="spellEnd"/>
      <w:r w:rsidRPr="00292037">
        <w:rPr>
          <w:rFonts w:ascii="Times New Roman" w:hAnsi="Times New Roman" w:cs="Times New Roman"/>
          <w:i/>
          <w:iCs/>
          <w:sz w:val="24"/>
          <w:szCs w:val="24"/>
          <w:shd w:val="clear" w:color="auto" w:fill="FFFFFF"/>
        </w:rPr>
        <w:t xml:space="preserve"> </w:t>
      </w:r>
      <w:proofErr w:type="spellStart"/>
      <w:r w:rsidRPr="00292037">
        <w:rPr>
          <w:rFonts w:ascii="Times New Roman" w:hAnsi="Times New Roman" w:cs="Times New Roman"/>
          <w:i/>
          <w:iCs/>
          <w:sz w:val="24"/>
          <w:szCs w:val="24"/>
          <w:shd w:val="clear" w:color="auto" w:fill="FFFFFF"/>
        </w:rPr>
        <w:t>illucens</w:t>
      </w:r>
      <w:proofErr w:type="spellEnd"/>
      <w:r w:rsidRPr="00292037">
        <w:rPr>
          <w:rFonts w:ascii="Times New Roman" w:hAnsi="Times New Roman" w:cs="Times New Roman"/>
          <w:sz w:val="24"/>
          <w:szCs w:val="24"/>
          <w:shd w:val="clear" w:color="auto" w:fill="FFFFFF"/>
        </w:rPr>
        <w:t xml:space="preserve"> (L.</w:t>
      </w:r>
      <w:proofErr w:type="gramStart"/>
      <w:r w:rsidRPr="00292037">
        <w:rPr>
          <w:rFonts w:ascii="Times New Roman" w:hAnsi="Times New Roman" w:cs="Times New Roman"/>
          <w:sz w:val="24"/>
          <w:szCs w:val="24"/>
          <w:shd w:val="clear" w:color="auto" w:fill="FFFFFF"/>
        </w:rPr>
        <w:t>),(</w:t>
      </w:r>
      <w:proofErr w:type="gramEnd"/>
      <w:r w:rsidRPr="00292037">
        <w:rPr>
          <w:rFonts w:ascii="Times New Roman" w:hAnsi="Times New Roman" w:cs="Times New Roman"/>
          <w:sz w:val="24"/>
          <w:szCs w:val="24"/>
          <w:shd w:val="clear" w:color="auto" w:fill="FFFFFF"/>
        </w:rPr>
        <w:t>Diptera: Stratiomyidae). </w:t>
      </w:r>
      <w:r w:rsidRPr="00292037">
        <w:rPr>
          <w:rFonts w:ascii="Times New Roman" w:hAnsi="Times New Roman" w:cs="Times New Roman"/>
          <w:i/>
          <w:iCs/>
          <w:sz w:val="24"/>
          <w:szCs w:val="24"/>
          <w:shd w:val="clear" w:color="auto" w:fill="FFFFFF"/>
        </w:rPr>
        <w:t xml:space="preserve">Scientific </w:t>
      </w:r>
      <w:r w:rsidR="00780324">
        <w:rPr>
          <w:rFonts w:ascii="Times New Roman" w:hAnsi="Times New Roman" w:cs="Times New Roman"/>
          <w:i/>
          <w:iCs/>
          <w:sz w:val="24"/>
          <w:szCs w:val="24"/>
          <w:shd w:val="clear" w:color="auto" w:fill="FFFFFF"/>
        </w:rPr>
        <w:t>R</w:t>
      </w:r>
      <w:r w:rsidRPr="00292037">
        <w:rPr>
          <w:rFonts w:ascii="Times New Roman" w:hAnsi="Times New Roman" w:cs="Times New Roman"/>
          <w:i/>
          <w:iCs/>
          <w:sz w:val="24"/>
          <w:szCs w:val="24"/>
          <w:shd w:val="clear" w:color="auto" w:fill="FFFFFF"/>
        </w:rPr>
        <w:t>eports</w:t>
      </w:r>
      <w:r w:rsidRPr="00292037">
        <w:rPr>
          <w:rFonts w:ascii="Times New Roman" w:hAnsi="Times New Roman" w:cs="Times New Roman"/>
          <w:sz w:val="24"/>
          <w:szCs w:val="24"/>
          <w:shd w:val="clear" w:color="auto" w:fill="FFFFFF"/>
        </w:rPr>
        <w:t>, </w:t>
      </w:r>
      <w:r w:rsidRPr="00292037">
        <w:rPr>
          <w:rFonts w:ascii="Times New Roman" w:hAnsi="Times New Roman" w:cs="Times New Roman"/>
          <w:i/>
          <w:iCs/>
          <w:sz w:val="24"/>
          <w:szCs w:val="24"/>
          <w:shd w:val="clear" w:color="auto" w:fill="FFFFFF"/>
        </w:rPr>
        <w:t>3</w:t>
      </w:r>
      <w:r w:rsidRPr="00292037">
        <w:rPr>
          <w:rFonts w:ascii="Times New Roman" w:hAnsi="Times New Roman" w:cs="Times New Roman"/>
          <w:sz w:val="24"/>
          <w:szCs w:val="24"/>
          <w:shd w:val="clear" w:color="auto" w:fill="FFFFFF"/>
        </w:rPr>
        <w:t>(1), 2563.</w:t>
      </w:r>
      <w:r w:rsidRPr="00292037">
        <w:rPr>
          <w:rFonts w:ascii="Times New Roman" w:hAnsi="Times New Roman" w:cs="Times New Roman"/>
          <w:sz w:val="24"/>
          <w:szCs w:val="24"/>
          <w:shd w:val="clear" w:color="auto" w:fill="FFFFFF"/>
          <w:lang w:val="en-US"/>
        </w:rPr>
        <w:t xml:space="preserve"> </w:t>
      </w:r>
      <w:hyperlink r:id="rId50" w:history="1">
        <w:r w:rsidRPr="00292037">
          <w:rPr>
            <w:rStyle w:val="Hyperlink"/>
            <w:rFonts w:ascii="Times New Roman" w:hAnsi="Times New Roman" w:cs="Times New Roman"/>
            <w:color w:val="auto"/>
            <w:sz w:val="24"/>
            <w:szCs w:val="24"/>
            <w:shd w:val="clear" w:color="auto" w:fill="FFFFFF"/>
          </w:rPr>
          <w:t>https://doi.org/10.1038/srep02563</w:t>
        </w:r>
      </w:hyperlink>
      <w:r w:rsidRPr="00292037">
        <w:rPr>
          <w:rFonts w:ascii="Times New Roman" w:hAnsi="Times New Roman" w:cs="Times New Roman"/>
          <w:sz w:val="24"/>
          <w:szCs w:val="24"/>
          <w:shd w:val="clear" w:color="auto" w:fill="FFFFFF"/>
        </w:rPr>
        <w:t xml:space="preserve"> </w:t>
      </w:r>
    </w:p>
    <w:p w14:paraId="2F718B67" w14:textId="44FB190A" w:rsidR="00EB474A" w:rsidRPr="00292037" w:rsidRDefault="00041069" w:rsidP="00EB474A">
      <w:pPr>
        <w:pStyle w:val="NormalWeb"/>
        <w:spacing w:before="0" w:beforeAutospacing="0" w:after="0" w:afterAutospacing="0" w:line="360" w:lineRule="auto"/>
        <w:jc w:val="both"/>
        <w:rPr>
          <w:b/>
          <w:bCs/>
          <w:lang w:val="en-US" w:eastAsia="en-ID"/>
        </w:rPr>
      </w:pPr>
      <w:r w:rsidRPr="00292037">
        <w:rPr>
          <w:b/>
          <w:bCs/>
          <w:lang w:val="en-US" w:eastAsia="en-ID"/>
        </w:rPr>
        <w:t>Picture and Tables</w:t>
      </w:r>
    </w:p>
    <w:p w14:paraId="6FFC6EC5" w14:textId="77777777" w:rsidR="003D332A" w:rsidRPr="00292037" w:rsidRDefault="003D332A" w:rsidP="00EB474A">
      <w:pPr>
        <w:pStyle w:val="NormalWeb"/>
        <w:spacing w:before="0" w:beforeAutospacing="0" w:after="0" w:afterAutospacing="0" w:line="360" w:lineRule="auto"/>
        <w:jc w:val="both"/>
        <w:rPr>
          <w:b/>
          <w:bCs/>
          <w:lang w:val="en-US" w:eastAsia="en-ID"/>
        </w:rPr>
      </w:pPr>
    </w:p>
    <w:p w14:paraId="0A22FDAD" w14:textId="250B2BF8" w:rsidR="00041069" w:rsidRPr="00292037" w:rsidRDefault="00041069" w:rsidP="00EB474A">
      <w:pPr>
        <w:pStyle w:val="NormalWeb"/>
        <w:spacing w:before="0" w:beforeAutospacing="0" w:after="0" w:afterAutospacing="0" w:line="360" w:lineRule="auto"/>
        <w:jc w:val="both"/>
        <w:rPr>
          <w:b/>
          <w:bCs/>
          <w:lang w:val="en-US" w:eastAsia="en-ID"/>
        </w:rPr>
      </w:pPr>
      <w:r w:rsidRPr="00292037">
        <w:rPr>
          <w:noProof/>
          <w:lang w:val="en-US" w:eastAsia="en-US"/>
        </w:rPr>
        <w:drawing>
          <wp:inline distT="0" distB="0" distL="0" distR="0" wp14:anchorId="7CDDE8EB" wp14:editId="65E53410">
            <wp:extent cx="5805377" cy="3401550"/>
            <wp:effectExtent l="0" t="0" r="5080" b="889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rotWithShape="1">
                    <a:blip r:embed="rId51">
                      <a:extLst>
                        <a:ext uri="{28A0092B-C50C-407E-A947-70E740481C1C}">
                          <a14:useLocalDpi xmlns:a14="http://schemas.microsoft.com/office/drawing/2010/main" val="0"/>
                        </a:ext>
                      </a:extLst>
                    </a:blip>
                    <a:srcRect l="7252" t="3799" r="16358" b="26421"/>
                    <a:stretch/>
                  </pic:blipFill>
                  <pic:spPr bwMode="auto">
                    <a:xfrm>
                      <a:off x="0" y="0"/>
                      <a:ext cx="5914399" cy="3465429"/>
                    </a:xfrm>
                    <a:prstGeom prst="rect">
                      <a:avLst/>
                    </a:prstGeom>
                    <a:ln>
                      <a:noFill/>
                    </a:ln>
                    <a:extLst>
                      <a:ext uri="{53640926-AAD7-44D8-BBD7-CCE9431645EC}">
                        <a14:shadowObscured xmlns:a14="http://schemas.microsoft.com/office/drawing/2010/main"/>
                      </a:ext>
                    </a:extLst>
                  </pic:spPr>
                </pic:pic>
              </a:graphicData>
            </a:graphic>
          </wp:inline>
        </w:drawing>
      </w:r>
    </w:p>
    <w:p w14:paraId="38A2A0FC" w14:textId="364B6D90" w:rsidR="00041069" w:rsidRPr="00292037" w:rsidRDefault="003D332A" w:rsidP="003D332A">
      <w:pPr>
        <w:pStyle w:val="NormalWeb"/>
        <w:spacing w:before="0" w:beforeAutospacing="0" w:after="0" w:afterAutospacing="0"/>
        <w:jc w:val="both"/>
        <w:rPr>
          <w:sz w:val="20"/>
          <w:szCs w:val="20"/>
        </w:rPr>
      </w:pPr>
      <w:r w:rsidRPr="00292037">
        <w:rPr>
          <w:b/>
          <w:bCs/>
          <w:sz w:val="20"/>
          <w:szCs w:val="20"/>
          <w:lang w:val="en-US" w:eastAsia="en-ID"/>
        </w:rPr>
        <w:t xml:space="preserve">Fig 1. </w:t>
      </w:r>
      <w:r w:rsidRPr="00292037">
        <w:rPr>
          <w:sz w:val="20"/>
          <w:szCs w:val="20"/>
        </w:rPr>
        <w:t xml:space="preserve">Preparation process of probiotic derived from </w:t>
      </w:r>
      <w:r w:rsidRPr="00292037">
        <w:rPr>
          <w:rStyle w:val="Emphasis"/>
          <w:sz w:val="20"/>
          <w:szCs w:val="20"/>
        </w:rPr>
        <w:t>Hermetia illucens</w:t>
      </w:r>
      <w:r w:rsidRPr="00292037">
        <w:rPr>
          <w:sz w:val="20"/>
          <w:szCs w:val="20"/>
        </w:rPr>
        <w:t xml:space="preserve"> (Black Soldier Fly) larvae, illustrating the main stages of homogenization, fermentation, and incubation prior to microbial analysis</w:t>
      </w:r>
    </w:p>
    <w:p w14:paraId="2E4E1655" w14:textId="77777777" w:rsidR="003D332A" w:rsidRPr="00292037" w:rsidRDefault="003D332A" w:rsidP="00EB474A">
      <w:pPr>
        <w:pStyle w:val="NormalWeb"/>
        <w:spacing w:before="0" w:beforeAutospacing="0" w:after="0" w:afterAutospacing="0" w:line="360" w:lineRule="auto"/>
        <w:jc w:val="both"/>
      </w:pPr>
    </w:p>
    <w:tbl>
      <w:tblPr>
        <w:tblStyle w:val="TableGrid"/>
        <w:tblW w:w="1091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120"/>
        <w:gridCol w:w="1134"/>
        <w:gridCol w:w="1134"/>
        <w:gridCol w:w="1134"/>
        <w:gridCol w:w="869"/>
        <w:gridCol w:w="1115"/>
        <w:gridCol w:w="1276"/>
        <w:gridCol w:w="1134"/>
        <w:gridCol w:w="1134"/>
      </w:tblGrid>
      <w:tr w:rsidR="003D332A" w:rsidRPr="00292037" w14:paraId="2482E574" w14:textId="77777777" w:rsidTr="00904043">
        <w:trPr>
          <w:jc w:val="center"/>
        </w:trPr>
        <w:tc>
          <w:tcPr>
            <w:tcW w:w="10915" w:type="dxa"/>
            <w:gridSpan w:val="10"/>
            <w:tcBorders>
              <w:top w:val="nil"/>
              <w:bottom w:val="single" w:sz="4" w:space="0" w:color="auto"/>
            </w:tcBorders>
          </w:tcPr>
          <w:p w14:paraId="5850881F" w14:textId="77777777" w:rsidR="003D332A" w:rsidRPr="00292037" w:rsidRDefault="003D332A" w:rsidP="00904043">
            <w:pPr>
              <w:ind w:left="889" w:hanging="889"/>
              <w:jc w:val="both"/>
              <w:rPr>
                <w:rFonts w:ascii="Times New Roman" w:hAnsi="Times New Roman" w:cs="Times New Roman"/>
              </w:rPr>
            </w:pPr>
            <w:r w:rsidRPr="00292037">
              <w:rPr>
                <w:rFonts w:ascii="Times New Roman" w:hAnsi="Times New Roman" w:cs="Times New Roman"/>
              </w:rPr>
              <w:t xml:space="preserve">Table 1. Mean values of pH and titratable acidity (%) of indigenous probiotic derived from </w:t>
            </w:r>
            <w:r w:rsidRPr="00292037">
              <w:rPr>
                <w:rFonts w:ascii="Times New Roman" w:hAnsi="Times New Roman" w:cs="Times New Roman"/>
                <w:i/>
                <w:iCs/>
              </w:rPr>
              <w:t>Black Soldier Fly</w:t>
            </w:r>
            <w:r w:rsidRPr="00292037">
              <w:rPr>
                <w:rFonts w:ascii="Times New Roman" w:hAnsi="Times New Roman" w:cs="Times New Roman"/>
              </w:rPr>
              <w:t xml:space="preserve"> larvae </w:t>
            </w:r>
          </w:p>
        </w:tc>
      </w:tr>
      <w:tr w:rsidR="003D332A" w:rsidRPr="00292037" w14:paraId="3B272AA6" w14:textId="77777777" w:rsidTr="00904043">
        <w:trPr>
          <w:jc w:val="center"/>
        </w:trPr>
        <w:tc>
          <w:tcPr>
            <w:tcW w:w="5387" w:type="dxa"/>
            <w:gridSpan w:val="5"/>
            <w:tcBorders>
              <w:top w:val="single" w:sz="4" w:space="0" w:color="auto"/>
              <w:bottom w:val="single" w:sz="4" w:space="0" w:color="auto"/>
            </w:tcBorders>
          </w:tcPr>
          <w:p w14:paraId="4CA964F6" w14:textId="77777777" w:rsidR="003D332A" w:rsidRPr="00292037" w:rsidRDefault="003D332A" w:rsidP="00904043">
            <w:pPr>
              <w:jc w:val="center"/>
              <w:rPr>
                <w:rFonts w:ascii="Times New Roman" w:hAnsi="Times New Roman" w:cs="Times New Roman"/>
                <w:b/>
                <w:bCs/>
                <w:sz w:val="16"/>
                <w:szCs w:val="16"/>
              </w:rPr>
            </w:pPr>
            <w:r w:rsidRPr="00292037">
              <w:rPr>
                <w:rFonts w:ascii="Times New Roman" w:hAnsi="Times New Roman" w:cs="Times New Roman"/>
                <w:b/>
                <w:bCs/>
                <w:sz w:val="16"/>
                <w:szCs w:val="16"/>
              </w:rPr>
              <w:t>pH</w:t>
            </w:r>
          </w:p>
        </w:tc>
        <w:tc>
          <w:tcPr>
            <w:tcW w:w="5528" w:type="dxa"/>
            <w:gridSpan w:val="5"/>
            <w:tcBorders>
              <w:top w:val="single" w:sz="4" w:space="0" w:color="auto"/>
              <w:bottom w:val="single" w:sz="4" w:space="0" w:color="auto"/>
            </w:tcBorders>
          </w:tcPr>
          <w:p w14:paraId="199318B2" w14:textId="77777777" w:rsidR="003D332A" w:rsidRPr="00292037" w:rsidRDefault="003D332A" w:rsidP="00904043">
            <w:pPr>
              <w:jc w:val="center"/>
              <w:rPr>
                <w:rFonts w:ascii="Times New Roman" w:hAnsi="Times New Roman" w:cs="Times New Roman"/>
                <w:b/>
                <w:bCs/>
                <w:sz w:val="16"/>
                <w:szCs w:val="16"/>
              </w:rPr>
            </w:pPr>
            <w:r w:rsidRPr="00292037">
              <w:rPr>
                <w:rFonts w:ascii="Times New Roman" w:hAnsi="Times New Roman" w:cs="Times New Roman"/>
                <w:b/>
                <w:bCs/>
                <w:sz w:val="16"/>
                <w:szCs w:val="16"/>
              </w:rPr>
              <w:t>Titratable acidity (%)</w:t>
            </w:r>
          </w:p>
        </w:tc>
      </w:tr>
      <w:tr w:rsidR="003D332A" w:rsidRPr="00292037" w14:paraId="3259A974" w14:textId="77777777" w:rsidTr="00904043">
        <w:trPr>
          <w:jc w:val="center"/>
        </w:trPr>
        <w:tc>
          <w:tcPr>
            <w:tcW w:w="865" w:type="dxa"/>
            <w:vMerge w:val="restart"/>
            <w:tcBorders>
              <w:top w:val="single" w:sz="4" w:space="0" w:color="auto"/>
              <w:bottom w:val="single" w:sz="4" w:space="0" w:color="auto"/>
            </w:tcBorders>
          </w:tcPr>
          <w:p w14:paraId="689BEEC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A</w:t>
            </w:r>
          </w:p>
          <w:p w14:paraId="41254022"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(Molasses Level)</w:t>
            </w:r>
          </w:p>
        </w:tc>
        <w:tc>
          <w:tcPr>
            <w:tcW w:w="3388" w:type="dxa"/>
            <w:gridSpan w:val="3"/>
            <w:tcBorders>
              <w:top w:val="single" w:sz="4" w:space="0" w:color="auto"/>
              <w:bottom w:val="single" w:sz="4" w:space="0" w:color="auto"/>
            </w:tcBorders>
          </w:tcPr>
          <w:p w14:paraId="4D1A366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B</w:t>
            </w:r>
          </w:p>
          <w:p w14:paraId="01A54C3C"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(Incubation Time)</w:t>
            </w:r>
          </w:p>
        </w:tc>
        <w:tc>
          <w:tcPr>
            <w:tcW w:w="1134" w:type="dxa"/>
            <w:tcBorders>
              <w:top w:val="single" w:sz="4" w:space="0" w:color="auto"/>
              <w:bottom w:val="single" w:sz="4" w:space="0" w:color="auto"/>
            </w:tcBorders>
          </w:tcPr>
          <w:p w14:paraId="3D6A4C3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869" w:type="dxa"/>
            <w:tcBorders>
              <w:top w:val="single" w:sz="4" w:space="0" w:color="auto"/>
              <w:bottom w:val="single" w:sz="4" w:space="0" w:color="auto"/>
            </w:tcBorders>
          </w:tcPr>
          <w:p w14:paraId="31FB09E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A</w:t>
            </w:r>
          </w:p>
          <w:p w14:paraId="06B827D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(Molasses Level)</w:t>
            </w:r>
          </w:p>
        </w:tc>
        <w:tc>
          <w:tcPr>
            <w:tcW w:w="3525" w:type="dxa"/>
            <w:gridSpan w:val="3"/>
            <w:tcBorders>
              <w:top w:val="single" w:sz="4" w:space="0" w:color="auto"/>
              <w:bottom w:val="single" w:sz="4" w:space="0" w:color="auto"/>
            </w:tcBorders>
          </w:tcPr>
          <w:p w14:paraId="61DCD75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B</w:t>
            </w:r>
          </w:p>
          <w:p w14:paraId="703E10F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(Incubation Time)</w:t>
            </w:r>
          </w:p>
        </w:tc>
        <w:tc>
          <w:tcPr>
            <w:tcW w:w="1134" w:type="dxa"/>
            <w:tcBorders>
              <w:top w:val="single" w:sz="4" w:space="0" w:color="auto"/>
              <w:bottom w:val="single" w:sz="4" w:space="0" w:color="auto"/>
            </w:tcBorders>
          </w:tcPr>
          <w:p w14:paraId="181D2D2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r>
      <w:tr w:rsidR="003D332A" w:rsidRPr="00292037" w14:paraId="79225D8E" w14:textId="77777777" w:rsidTr="00904043">
        <w:trPr>
          <w:jc w:val="center"/>
        </w:trPr>
        <w:tc>
          <w:tcPr>
            <w:tcW w:w="865" w:type="dxa"/>
            <w:vMerge/>
            <w:tcBorders>
              <w:top w:val="single" w:sz="4" w:space="0" w:color="auto"/>
              <w:bottom w:val="single" w:sz="4" w:space="0" w:color="auto"/>
            </w:tcBorders>
          </w:tcPr>
          <w:p w14:paraId="34C685C8" w14:textId="77777777" w:rsidR="003D332A" w:rsidRPr="00292037" w:rsidRDefault="003D332A" w:rsidP="00904043">
            <w:pPr>
              <w:jc w:val="center"/>
              <w:rPr>
                <w:rFonts w:ascii="Times New Roman" w:hAnsi="Times New Roman" w:cs="Times New Roman"/>
                <w:sz w:val="16"/>
                <w:szCs w:val="16"/>
              </w:rPr>
            </w:pPr>
          </w:p>
        </w:tc>
        <w:tc>
          <w:tcPr>
            <w:tcW w:w="1120" w:type="dxa"/>
            <w:tcBorders>
              <w:top w:val="single" w:sz="4" w:space="0" w:color="auto"/>
              <w:bottom w:val="single" w:sz="4" w:space="0" w:color="auto"/>
            </w:tcBorders>
          </w:tcPr>
          <w:p w14:paraId="3F071DC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B1</w:t>
            </w:r>
          </w:p>
        </w:tc>
        <w:tc>
          <w:tcPr>
            <w:tcW w:w="1134" w:type="dxa"/>
            <w:tcBorders>
              <w:top w:val="single" w:sz="4" w:space="0" w:color="auto"/>
              <w:bottom w:val="single" w:sz="4" w:space="0" w:color="auto"/>
            </w:tcBorders>
          </w:tcPr>
          <w:p w14:paraId="0F0F1AA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B2</w:t>
            </w:r>
          </w:p>
        </w:tc>
        <w:tc>
          <w:tcPr>
            <w:tcW w:w="1134" w:type="dxa"/>
            <w:tcBorders>
              <w:top w:val="single" w:sz="4" w:space="0" w:color="auto"/>
              <w:bottom w:val="single" w:sz="4" w:space="0" w:color="auto"/>
            </w:tcBorders>
          </w:tcPr>
          <w:p w14:paraId="517DBEE6"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B3</w:t>
            </w:r>
          </w:p>
        </w:tc>
        <w:tc>
          <w:tcPr>
            <w:tcW w:w="1134" w:type="dxa"/>
            <w:tcBorders>
              <w:top w:val="single" w:sz="4" w:space="0" w:color="auto"/>
              <w:bottom w:val="single" w:sz="4" w:space="0" w:color="auto"/>
            </w:tcBorders>
          </w:tcPr>
          <w:p w14:paraId="601155AB" w14:textId="77777777" w:rsidR="003D332A" w:rsidRPr="00292037" w:rsidRDefault="003D332A" w:rsidP="00904043">
            <w:pPr>
              <w:jc w:val="center"/>
              <w:rPr>
                <w:rFonts w:ascii="Times New Roman" w:hAnsi="Times New Roman" w:cs="Times New Roman"/>
                <w:sz w:val="16"/>
                <w:szCs w:val="16"/>
              </w:rPr>
            </w:pPr>
          </w:p>
        </w:tc>
        <w:tc>
          <w:tcPr>
            <w:tcW w:w="869" w:type="dxa"/>
            <w:tcBorders>
              <w:top w:val="single" w:sz="4" w:space="0" w:color="auto"/>
              <w:bottom w:val="single" w:sz="4" w:space="0" w:color="auto"/>
            </w:tcBorders>
          </w:tcPr>
          <w:p w14:paraId="14107257" w14:textId="77777777" w:rsidR="003D332A" w:rsidRPr="00292037" w:rsidRDefault="003D332A" w:rsidP="00904043">
            <w:pPr>
              <w:jc w:val="center"/>
              <w:rPr>
                <w:rFonts w:ascii="Times New Roman" w:hAnsi="Times New Roman" w:cs="Times New Roman"/>
                <w:sz w:val="16"/>
                <w:szCs w:val="16"/>
              </w:rPr>
            </w:pPr>
          </w:p>
        </w:tc>
        <w:tc>
          <w:tcPr>
            <w:tcW w:w="1115" w:type="dxa"/>
            <w:tcBorders>
              <w:top w:val="single" w:sz="4" w:space="0" w:color="auto"/>
              <w:bottom w:val="single" w:sz="4" w:space="0" w:color="auto"/>
            </w:tcBorders>
          </w:tcPr>
          <w:p w14:paraId="55FF38B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B1</w:t>
            </w:r>
          </w:p>
        </w:tc>
        <w:tc>
          <w:tcPr>
            <w:tcW w:w="1276" w:type="dxa"/>
            <w:tcBorders>
              <w:top w:val="single" w:sz="4" w:space="0" w:color="auto"/>
              <w:bottom w:val="single" w:sz="4" w:space="0" w:color="auto"/>
            </w:tcBorders>
          </w:tcPr>
          <w:p w14:paraId="3B2EA3E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B2</w:t>
            </w:r>
          </w:p>
        </w:tc>
        <w:tc>
          <w:tcPr>
            <w:tcW w:w="1134" w:type="dxa"/>
            <w:tcBorders>
              <w:top w:val="single" w:sz="4" w:space="0" w:color="auto"/>
              <w:bottom w:val="single" w:sz="4" w:space="0" w:color="auto"/>
            </w:tcBorders>
          </w:tcPr>
          <w:p w14:paraId="0752F1AC"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B3</w:t>
            </w:r>
          </w:p>
        </w:tc>
        <w:tc>
          <w:tcPr>
            <w:tcW w:w="1134" w:type="dxa"/>
            <w:tcBorders>
              <w:top w:val="single" w:sz="4" w:space="0" w:color="auto"/>
              <w:bottom w:val="single" w:sz="4" w:space="0" w:color="auto"/>
            </w:tcBorders>
          </w:tcPr>
          <w:p w14:paraId="140E06AA" w14:textId="77777777" w:rsidR="003D332A" w:rsidRPr="00292037" w:rsidRDefault="003D332A" w:rsidP="00904043">
            <w:pPr>
              <w:jc w:val="center"/>
              <w:rPr>
                <w:rFonts w:ascii="Times New Roman" w:hAnsi="Times New Roman" w:cs="Times New Roman"/>
                <w:sz w:val="16"/>
                <w:szCs w:val="16"/>
              </w:rPr>
            </w:pPr>
          </w:p>
        </w:tc>
      </w:tr>
      <w:tr w:rsidR="003D332A" w:rsidRPr="00292037" w14:paraId="1E00DC7D" w14:textId="77777777" w:rsidTr="00904043">
        <w:trPr>
          <w:jc w:val="center"/>
        </w:trPr>
        <w:tc>
          <w:tcPr>
            <w:tcW w:w="865" w:type="dxa"/>
            <w:tcBorders>
              <w:top w:val="single" w:sz="4" w:space="0" w:color="auto"/>
            </w:tcBorders>
          </w:tcPr>
          <w:p w14:paraId="366BFA76"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A1</w:t>
            </w:r>
          </w:p>
        </w:tc>
        <w:tc>
          <w:tcPr>
            <w:tcW w:w="1120" w:type="dxa"/>
            <w:tcBorders>
              <w:top w:val="single" w:sz="4" w:space="0" w:color="auto"/>
            </w:tcBorders>
          </w:tcPr>
          <w:p w14:paraId="67744DA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6.05 ± 0.02</w:t>
            </w:r>
            <w:r w:rsidRPr="00292037">
              <w:rPr>
                <w:rFonts w:ascii="Times New Roman" w:hAnsi="Times New Roman" w:cs="Times New Roman"/>
                <w:sz w:val="16"/>
                <w:szCs w:val="16"/>
                <w:vertAlign w:val="superscript"/>
              </w:rPr>
              <w:t>b</w:t>
            </w:r>
          </w:p>
        </w:tc>
        <w:tc>
          <w:tcPr>
            <w:tcW w:w="1134" w:type="dxa"/>
            <w:tcBorders>
              <w:top w:val="single" w:sz="4" w:space="0" w:color="auto"/>
            </w:tcBorders>
          </w:tcPr>
          <w:p w14:paraId="73D479E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5.91 ± 0.07</w:t>
            </w:r>
            <w:r w:rsidRPr="00292037">
              <w:rPr>
                <w:rFonts w:ascii="Times New Roman" w:hAnsi="Times New Roman" w:cs="Times New Roman"/>
                <w:sz w:val="16"/>
                <w:szCs w:val="16"/>
                <w:vertAlign w:val="superscript"/>
              </w:rPr>
              <w:t>c</w:t>
            </w:r>
          </w:p>
        </w:tc>
        <w:tc>
          <w:tcPr>
            <w:tcW w:w="1134" w:type="dxa"/>
            <w:tcBorders>
              <w:top w:val="single" w:sz="4" w:space="0" w:color="auto"/>
            </w:tcBorders>
          </w:tcPr>
          <w:p w14:paraId="39566D0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6.28 ± 0.11</w:t>
            </w:r>
            <w:r w:rsidRPr="00292037">
              <w:rPr>
                <w:rFonts w:ascii="Times New Roman" w:hAnsi="Times New Roman" w:cs="Times New Roman"/>
                <w:sz w:val="16"/>
                <w:szCs w:val="16"/>
                <w:vertAlign w:val="superscript"/>
              </w:rPr>
              <w:t>a</w:t>
            </w:r>
          </w:p>
        </w:tc>
        <w:tc>
          <w:tcPr>
            <w:tcW w:w="1134" w:type="dxa"/>
            <w:tcBorders>
              <w:top w:val="single" w:sz="4" w:space="0" w:color="auto"/>
            </w:tcBorders>
          </w:tcPr>
          <w:p w14:paraId="43A0E5E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6.08 ± 0.18</w:t>
            </w:r>
          </w:p>
        </w:tc>
        <w:tc>
          <w:tcPr>
            <w:tcW w:w="869" w:type="dxa"/>
            <w:tcBorders>
              <w:top w:val="single" w:sz="4" w:space="0" w:color="auto"/>
            </w:tcBorders>
          </w:tcPr>
          <w:p w14:paraId="0EA1AD2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A1</w:t>
            </w:r>
          </w:p>
        </w:tc>
        <w:tc>
          <w:tcPr>
            <w:tcW w:w="1115" w:type="dxa"/>
            <w:tcBorders>
              <w:top w:val="single" w:sz="4" w:space="0" w:color="auto"/>
            </w:tcBorders>
          </w:tcPr>
          <w:p w14:paraId="6B7BCAB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0.71 ± 0.06</w:t>
            </w:r>
            <w:r w:rsidRPr="00292037">
              <w:rPr>
                <w:rFonts w:ascii="Times New Roman" w:hAnsi="Times New Roman" w:cs="Times New Roman"/>
                <w:sz w:val="16"/>
                <w:szCs w:val="16"/>
                <w:vertAlign w:val="superscript"/>
              </w:rPr>
              <w:t>d</w:t>
            </w:r>
          </w:p>
        </w:tc>
        <w:tc>
          <w:tcPr>
            <w:tcW w:w="1276" w:type="dxa"/>
            <w:tcBorders>
              <w:top w:val="single" w:sz="4" w:space="0" w:color="auto"/>
            </w:tcBorders>
          </w:tcPr>
          <w:p w14:paraId="071DA94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0.75 ± 0.06</w:t>
            </w:r>
            <w:r w:rsidRPr="00292037">
              <w:rPr>
                <w:rFonts w:ascii="Times New Roman" w:hAnsi="Times New Roman" w:cs="Times New Roman"/>
                <w:sz w:val="16"/>
                <w:szCs w:val="16"/>
                <w:vertAlign w:val="superscript"/>
              </w:rPr>
              <w:t>d</w:t>
            </w:r>
          </w:p>
        </w:tc>
        <w:tc>
          <w:tcPr>
            <w:tcW w:w="1134" w:type="dxa"/>
            <w:tcBorders>
              <w:top w:val="single" w:sz="4" w:space="0" w:color="auto"/>
            </w:tcBorders>
          </w:tcPr>
          <w:p w14:paraId="17F2C80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0.81 ± 0.14</w:t>
            </w:r>
            <w:r w:rsidRPr="00292037">
              <w:rPr>
                <w:rFonts w:ascii="Times New Roman" w:hAnsi="Times New Roman" w:cs="Times New Roman"/>
                <w:sz w:val="16"/>
                <w:szCs w:val="16"/>
                <w:vertAlign w:val="superscript"/>
              </w:rPr>
              <w:t>d</w:t>
            </w:r>
          </w:p>
        </w:tc>
        <w:tc>
          <w:tcPr>
            <w:tcW w:w="1134" w:type="dxa"/>
            <w:tcBorders>
              <w:top w:val="single" w:sz="4" w:space="0" w:color="auto"/>
            </w:tcBorders>
          </w:tcPr>
          <w:p w14:paraId="57EF9A5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0.76 ± 0.09</w:t>
            </w:r>
          </w:p>
        </w:tc>
      </w:tr>
      <w:tr w:rsidR="003D332A" w:rsidRPr="00292037" w14:paraId="6DA53E4F" w14:textId="77777777" w:rsidTr="00904043">
        <w:trPr>
          <w:jc w:val="center"/>
        </w:trPr>
        <w:tc>
          <w:tcPr>
            <w:tcW w:w="865" w:type="dxa"/>
          </w:tcPr>
          <w:p w14:paraId="22177BE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A2</w:t>
            </w:r>
          </w:p>
        </w:tc>
        <w:tc>
          <w:tcPr>
            <w:tcW w:w="1120" w:type="dxa"/>
          </w:tcPr>
          <w:p w14:paraId="79FA2F1A" w14:textId="77777777" w:rsidR="003D332A" w:rsidRPr="00292037" w:rsidRDefault="003D332A" w:rsidP="00904043">
            <w:pPr>
              <w:jc w:val="center"/>
              <w:rPr>
                <w:rFonts w:ascii="Times New Roman" w:hAnsi="Times New Roman" w:cs="Times New Roman"/>
                <w:b/>
                <w:bCs/>
                <w:sz w:val="16"/>
                <w:szCs w:val="16"/>
              </w:rPr>
            </w:pPr>
            <w:r w:rsidRPr="00292037">
              <w:rPr>
                <w:rFonts w:ascii="Times New Roman" w:hAnsi="Times New Roman" w:cs="Times New Roman"/>
                <w:sz w:val="16"/>
                <w:szCs w:val="16"/>
              </w:rPr>
              <w:t>4.12 ± 0.08</w:t>
            </w:r>
            <w:r w:rsidRPr="00292037">
              <w:rPr>
                <w:rFonts w:ascii="Times New Roman" w:hAnsi="Times New Roman" w:cs="Times New Roman"/>
                <w:sz w:val="16"/>
                <w:szCs w:val="16"/>
                <w:vertAlign w:val="superscript"/>
              </w:rPr>
              <w:t>d</w:t>
            </w:r>
          </w:p>
        </w:tc>
        <w:tc>
          <w:tcPr>
            <w:tcW w:w="1134" w:type="dxa"/>
          </w:tcPr>
          <w:p w14:paraId="0DEDE9E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3.91 ± 0.06</w:t>
            </w:r>
            <w:r w:rsidRPr="00292037">
              <w:rPr>
                <w:rFonts w:ascii="Times New Roman" w:hAnsi="Times New Roman" w:cs="Times New Roman"/>
                <w:sz w:val="16"/>
                <w:szCs w:val="16"/>
                <w:vertAlign w:val="superscript"/>
              </w:rPr>
              <w:t>e</w:t>
            </w:r>
          </w:p>
        </w:tc>
        <w:tc>
          <w:tcPr>
            <w:tcW w:w="1134" w:type="dxa"/>
          </w:tcPr>
          <w:p w14:paraId="7B32839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4.11 ± 0.03</w:t>
            </w:r>
            <w:r w:rsidRPr="00292037">
              <w:rPr>
                <w:rFonts w:ascii="Times New Roman" w:hAnsi="Times New Roman" w:cs="Times New Roman"/>
                <w:sz w:val="16"/>
                <w:szCs w:val="16"/>
                <w:vertAlign w:val="superscript"/>
              </w:rPr>
              <w:t>d</w:t>
            </w:r>
          </w:p>
        </w:tc>
        <w:tc>
          <w:tcPr>
            <w:tcW w:w="1134" w:type="dxa"/>
          </w:tcPr>
          <w:p w14:paraId="5BEF987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4.04 ± 0.11</w:t>
            </w:r>
          </w:p>
        </w:tc>
        <w:tc>
          <w:tcPr>
            <w:tcW w:w="869" w:type="dxa"/>
          </w:tcPr>
          <w:p w14:paraId="11B9E2D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A2</w:t>
            </w:r>
          </w:p>
        </w:tc>
        <w:tc>
          <w:tcPr>
            <w:tcW w:w="1115" w:type="dxa"/>
          </w:tcPr>
          <w:p w14:paraId="233FBCA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2.41 ± 0.26</w:t>
            </w:r>
            <w:r w:rsidRPr="00292037">
              <w:rPr>
                <w:rFonts w:ascii="Times New Roman" w:hAnsi="Times New Roman" w:cs="Times New Roman"/>
                <w:sz w:val="16"/>
                <w:szCs w:val="16"/>
                <w:vertAlign w:val="superscript"/>
              </w:rPr>
              <w:t>c</w:t>
            </w:r>
          </w:p>
        </w:tc>
        <w:tc>
          <w:tcPr>
            <w:tcW w:w="1276" w:type="dxa"/>
          </w:tcPr>
          <w:p w14:paraId="5F3614A2"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2.43 ± 0.06</w:t>
            </w:r>
            <w:r w:rsidRPr="00292037">
              <w:rPr>
                <w:rFonts w:ascii="Times New Roman" w:hAnsi="Times New Roman" w:cs="Times New Roman"/>
                <w:sz w:val="16"/>
                <w:szCs w:val="16"/>
                <w:vertAlign w:val="superscript"/>
              </w:rPr>
              <w:t>c</w:t>
            </w:r>
          </w:p>
        </w:tc>
        <w:tc>
          <w:tcPr>
            <w:tcW w:w="1134" w:type="dxa"/>
          </w:tcPr>
          <w:p w14:paraId="38C2783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3.74 ± 0.08</w:t>
            </w:r>
            <w:r w:rsidRPr="00292037">
              <w:rPr>
                <w:rFonts w:ascii="Times New Roman" w:hAnsi="Times New Roman" w:cs="Times New Roman"/>
                <w:sz w:val="16"/>
                <w:szCs w:val="16"/>
                <w:vertAlign w:val="superscript"/>
              </w:rPr>
              <w:t>a</w:t>
            </w:r>
          </w:p>
        </w:tc>
        <w:tc>
          <w:tcPr>
            <w:tcW w:w="1134" w:type="dxa"/>
          </w:tcPr>
          <w:p w14:paraId="178BEA3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2.86 ± 0.70</w:t>
            </w:r>
          </w:p>
        </w:tc>
      </w:tr>
      <w:tr w:rsidR="003D332A" w:rsidRPr="00292037" w14:paraId="06B73F4E" w14:textId="77777777" w:rsidTr="00904043">
        <w:trPr>
          <w:jc w:val="center"/>
        </w:trPr>
        <w:tc>
          <w:tcPr>
            <w:tcW w:w="865" w:type="dxa"/>
            <w:tcBorders>
              <w:bottom w:val="single" w:sz="4" w:space="0" w:color="auto"/>
            </w:tcBorders>
          </w:tcPr>
          <w:p w14:paraId="77543FF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A3</w:t>
            </w:r>
          </w:p>
        </w:tc>
        <w:tc>
          <w:tcPr>
            <w:tcW w:w="1120" w:type="dxa"/>
            <w:tcBorders>
              <w:bottom w:val="single" w:sz="4" w:space="0" w:color="auto"/>
            </w:tcBorders>
          </w:tcPr>
          <w:p w14:paraId="76274D9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4.07 ± 0.02</w:t>
            </w:r>
            <w:r w:rsidRPr="00292037">
              <w:rPr>
                <w:rFonts w:ascii="Times New Roman" w:hAnsi="Times New Roman" w:cs="Times New Roman"/>
                <w:sz w:val="16"/>
                <w:szCs w:val="16"/>
                <w:vertAlign w:val="superscript"/>
              </w:rPr>
              <w:t>d</w:t>
            </w:r>
          </w:p>
        </w:tc>
        <w:tc>
          <w:tcPr>
            <w:tcW w:w="1134" w:type="dxa"/>
            <w:tcBorders>
              <w:bottom w:val="single" w:sz="4" w:space="0" w:color="auto"/>
            </w:tcBorders>
          </w:tcPr>
          <w:p w14:paraId="5CD83F6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3.92 ± 0.03</w:t>
            </w:r>
            <w:r w:rsidRPr="00292037">
              <w:rPr>
                <w:rFonts w:ascii="Times New Roman" w:hAnsi="Times New Roman" w:cs="Times New Roman"/>
                <w:sz w:val="16"/>
                <w:szCs w:val="16"/>
                <w:vertAlign w:val="superscript"/>
              </w:rPr>
              <w:t>e</w:t>
            </w:r>
          </w:p>
        </w:tc>
        <w:tc>
          <w:tcPr>
            <w:tcW w:w="1134" w:type="dxa"/>
            <w:tcBorders>
              <w:bottom w:val="single" w:sz="4" w:space="0" w:color="auto"/>
            </w:tcBorders>
          </w:tcPr>
          <w:p w14:paraId="6F04DFA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4.01 ± 0.06</w:t>
            </w:r>
            <w:r w:rsidRPr="00292037">
              <w:rPr>
                <w:rFonts w:ascii="Times New Roman" w:hAnsi="Times New Roman" w:cs="Times New Roman"/>
                <w:sz w:val="16"/>
                <w:szCs w:val="16"/>
                <w:vertAlign w:val="superscript"/>
              </w:rPr>
              <w:t>de</w:t>
            </w:r>
          </w:p>
        </w:tc>
        <w:tc>
          <w:tcPr>
            <w:tcW w:w="1134" w:type="dxa"/>
          </w:tcPr>
          <w:p w14:paraId="2905F5D2"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4.00 ± 0.07</w:t>
            </w:r>
          </w:p>
        </w:tc>
        <w:tc>
          <w:tcPr>
            <w:tcW w:w="869" w:type="dxa"/>
            <w:tcBorders>
              <w:bottom w:val="single" w:sz="4" w:space="0" w:color="auto"/>
            </w:tcBorders>
          </w:tcPr>
          <w:p w14:paraId="64B44A6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A3</w:t>
            </w:r>
          </w:p>
        </w:tc>
        <w:tc>
          <w:tcPr>
            <w:tcW w:w="1115" w:type="dxa"/>
            <w:tcBorders>
              <w:bottom w:val="single" w:sz="4" w:space="0" w:color="auto"/>
            </w:tcBorders>
          </w:tcPr>
          <w:p w14:paraId="739879A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2.60 ± 0.20</w:t>
            </w:r>
            <w:r w:rsidRPr="00292037">
              <w:rPr>
                <w:rFonts w:ascii="Times New Roman" w:hAnsi="Times New Roman" w:cs="Times New Roman"/>
                <w:sz w:val="16"/>
                <w:szCs w:val="16"/>
                <w:vertAlign w:val="superscript"/>
              </w:rPr>
              <w:t>c</w:t>
            </w:r>
          </w:p>
        </w:tc>
        <w:tc>
          <w:tcPr>
            <w:tcW w:w="1276" w:type="dxa"/>
            <w:tcBorders>
              <w:bottom w:val="single" w:sz="4" w:space="0" w:color="auto"/>
            </w:tcBorders>
          </w:tcPr>
          <w:p w14:paraId="3B803378"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3.37 ± 0.45</w:t>
            </w:r>
            <w:r w:rsidRPr="00292037">
              <w:rPr>
                <w:rFonts w:ascii="Times New Roman" w:hAnsi="Times New Roman" w:cs="Times New Roman"/>
                <w:sz w:val="16"/>
                <w:szCs w:val="16"/>
                <w:vertAlign w:val="superscript"/>
              </w:rPr>
              <w:t>ab</w:t>
            </w:r>
          </w:p>
        </w:tc>
        <w:tc>
          <w:tcPr>
            <w:tcW w:w="1134" w:type="dxa"/>
            <w:tcBorders>
              <w:bottom w:val="single" w:sz="4" w:space="0" w:color="auto"/>
            </w:tcBorders>
          </w:tcPr>
          <w:p w14:paraId="40434BC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3.29 ± 0.16</w:t>
            </w:r>
            <w:r w:rsidRPr="00292037">
              <w:rPr>
                <w:rFonts w:ascii="Times New Roman" w:hAnsi="Times New Roman" w:cs="Times New Roman"/>
                <w:sz w:val="16"/>
                <w:szCs w:val="16"/>
                <w:vertAlign w:val="superscript"/>
              </w:rPr>
              <w:t>b</w:t>
            </w:r>
          </w:p>
        </w:tc>
        <w:tc>
          <w:tcPr>
            <w:tcW w:w="1134" w:type="dxa"/>
          </w:tcPr>
          <w:p w14:paraId="70BFBCB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3.09 ± 0.45</w:t>
            </w:r>
          </w:p>
        </w:tc>
      </w:tr>
      <w:tr w:rsidR="003D332A" w:rsidRPr="00292037" w14:paraId="76A50178" w14:textId="77777777" w:rsidTr="00904043">
        <w:trPr>
          <w:jc w:val="center"/>
        </w:trPr>
        <w:tc>
          <w:tcPr>
            <w:tcW w:w="865" w:type="dxa"/>
            <w:tcBorders>
              <w:top w:val="single" w:sz="4" w:space="0" w:color="auto"/>
              <w:bottom w:val="single" w:sz="4" w:space="0" w:color="auto"/>
            </w:tcBorders>
          </w:tcPr>
          <w:p w14:paraId="3F0434D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1120" w:type="dxa"/>
            <w:tcBorders>
              <w:top w:val="single" w:sz="4" w:space="0" w:color="auto"/>
              <w:bottom w:val="single" w:sz="4" w:space="0" w:color="auto"/>
            </w:tcBorders>
          </w:tcPr>
          <w:p w14:paraId="1F6B8A46"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4.74 ± 0.98</w:t>
            </w:r>
          </w:p>
        </w:tc>
        <w:tc>
          <w:tcPr>
            <w:tcW w:w="1134" w:type="dxa"/>
            <w:tcBorders>
              <w:top w:val="single" w:sz="4" w:space="0" w:color="auto"/>
              <w:bottom w:val="single" w:sz="4" w:space="0" w:color="auto"/>
            </w:tcBorders>
          </w:tcPr>
          <w:p w14:paraId="7BA4706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4.58 ± 1.00</w:t>
            </w:r>
          </w:p>
        </w:tc>
        <w:tc>
          <w:tcPr>
            <w:tcW w:w="1134" w:type="dxa"/>
            <w:tcBorders>
              <w:top w:val="single" w:sz="4" w:space="0" w:color="auto"/>
              <w:bottom w:val="single" w:sz="4" w:space="0" w:color="auto"/>
            </w:tcBorders>
          </w:tcPr>
          <w:p w14:paraId="6E79ECF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4.80 ± 1.11</w:t>
            </w:r>
          </w:p>
        </w:tc>
        <w:tc>
          <w:tcPr>
            <w:tcW w:w="1134" w:type="dxa"/>
          </w:tcPr>
          <w:p w14:paraId="5685E5F3" w14:textId="77777777" w:rsidR="003D332A" w:rsidRPr="00292037" w:rsidRDefault="003D332A" w:rsidP="00904043">
            <w:pPr>
              <w:jc w:val="center"/>
              <w:rPr>
                <w:rFonts w:ascii="Times New Roman" w:hAnsi="Times New Roman" w:cs="Times New Roman"/>
                <w:sz w:val="16"/>
                <w:szCs w:val="16"/>
              </w:rPr>
            </w:pPr>
          </w:p>
        </w:tc>
        <w:tc>
          <w:tcPr>
            <w:tcW w:w="869" w:type="dxa"/>
            <w:tcBorders>
              <w:top w:val="single" w:sz="4" w:space="0" w:color="auto"/>
              <w:bottom w:val="single" w:sz="4" w:space="0" w:color="auto"/>
            </w:tcBorders>
          </w:tcPr>
          <w:p w14:paraId="69D38A18"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1115" w:type="dxa"/>
            <w:tcBorders>
              <w:top w:val="single" w:sz="4" w:space="0" w:color="auto"/>
              <w:bottom w:val="single" w:sz="4" w:space="0" w:color="auto"/>
            </w:tcBorders>
          </w:tcPr>
          <w:p w14:paraId="7365AD5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1.91 ± 0.91</w:t>
            </w:r>
          </w:p>
        </w:tc>
        <w:tc>
          <w:tcPr>
            <w:tcW w:w="1276" w:type="dxa"/>
            <w:tcBorders>
              <w:top w:val="single" w:sz="4" w:space="0" w:color="auto"/>
              <w:bottom w:val="single" w:sz="4" w:space="0" w:color="auto"/>
            </w:tcBorders>
          </w:tcPr>
          <w:p w14:paraId="1EB878D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2.18 ± 1.17</w:t>
            </w:r>
          </w:p>
        </w:tc>
        <w:tc>
          <w:tcPr>
            <w:tcW w:w="1134" w:type="dxa"/>
            <w:tcBorders>
              <w:top w:val="single" w:sz="4" w:space="0" w:color="auto"/>
              <w:bottom w:val="single" w:sz="4" w:space="0" w:color="auto"/>
            </w:tcBorders>
          </w:tcPr>
          <w:p w14:paraId="25FFAE0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2.61 ± 1.38</w:t>
            </w:r>
          </w:p>
        </w:tc>
        <w:tc>
          <w:tcPr>
            <w:tcW w:w="1134" w:type="dxa"/>
          </w:tcPr>
          <w:p w14:paraId="5CC46D61" w14:textId="77777777" w:rsidR="003D332A" w:rsidRPr="00292037" w:rsidRDefault="003D332A" w:rsidP="00904043">
            <w:pPr>
              <w:jc w:val="center"/>
              <w:rPr>
                <w:rFonts w:ascii="Times New Roman" w:hAnsi="Times New Roman" w:cs="Times New Roman"/>
                <w:sz w:val="16"/>
                <w:szCs w:val="16"/>
              </w:rPr>
            </w:pPr>
          </w:p>
        </w:tc>
      </w:tr>
    </w:tbl>
    <w:p w14:paraId="333653A1" w14:textId="344A0F7B" w:rsidR="003D332A" w:rsidRPr="00292037" w:rsidRDefault="003D332A" w:rsidP="003D332A">
      <w:pPr>
        <w:jc w:val="both"/>
        <w:rPr>
          <w:rFonts w:ascii="Times New Roman" w:hAnsi="Times New Roman" w:cs="Times New Roman"/>
          <w:sz w:val="16"/>
          <w:szCs w:val="16"/>
        </w:rPr>
      </w:pPr>
      <w:r w:rsidRPr="00292037">
        <w:rPr>
          <w:rFonts w:ascii="Times New Roman" w:hAnsi="Times New Roman" w:cs="Times New Roman"/>
          <w:sz w:val="16"/>
          <w:szCs w:val="16"/>
        </w:rPr>
        <w:t>Note: A1= 0% molasses, A2= 50% molasses, A3= 100% molasses; B1= 5 days of incubation, B2= 10 days of incubation, B3= 15 days of incubation; values are presented as mean ± standard deviation (n=3). Means with different superscript letters within the same row or column differ significantly (P</w:t>
      </w:r>
      <w:r w:rsidR="00C8085C" w:rsidRPr="00292037">
        <w:rPr>
          <w:rFonts w:ascii="Times New Roman" w:hAnsi="Times New Roman" w:cs="Times New Roman"/>
          <w:sz w:val="16"/>
          <w:szCs w:val="16"/>
        </w:rPr>
        <w:t>&lt;</w:t>
      </w:r>
      <w:r w:rsidRPr="00292037">
        <w:rPr>
          <w:rFonts w:ascii="Times New Roman" w:hAnsi="Times New Roman" w:cs="Times New Roman"/>
          <w:sz w:val="16"/>
          <w:szCs w:val="16"/>
        </w:rPr>
        <w:t>0.05). A significant interaction (P</w:t>
      </w:r>
      <w:r w:rsidR="00C8085C" w:rsidRPr="00292037">
        <w:rPr>
          <w:rFonts w:ascii="Times New Roman" w:hAnsi="Times New Roman" w:cs="Times New Roman"/>
          <w:sz w:val="16"/>
          <w:szCs w:val="16"/>
        </w:rPr>
        <w:t>&lt;</w:t>
      </w:r>
      <w:r w:rsidRPr="00292037">
        <w:rPr>
          <w:rFonts w:ascii="Times New Roman" w:hAnsi="Times New Roman" w:cs="Times New Roman"/>
          <w:sz w:val="16"/>
          <w:szCs w:val="16"/>
        </w:rPr>
        <w:t>0.05) between molasses level (A) and incubation time (B) was observed. Mean values of A and B (± SD) are shown for descriptive purposes only.</w:t>
      </w:r>
    </w:p>
    <w:tbl>
      <w:tblPr>
        <w:tblStyle w:val="TableGrid"/>
        <w:tblW w:w="109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120"/>
        <w:gridCol w:w="1134"/>
        <w:gridCol w:w="1136"/>
        <w:gridCol w:w="1132"/>
        <w:gridCol w:w="870"/>
        <w:gridCol w:w="1257"/>
        <w:gridCol w:w="1134"/>
        <w:gridCol w:w="1134"/>
        <w:gridCol w:w="1134"/>
      </w:tblGrid>
      <w:tr w:rsidR="003D332A" w:rsidRPr="00292037" w14:paraId="1642A4B2" w14:textId="77777777" w:rsidTr="00904043">
        <w:trPr>
          <w:jc w:val="center"/>
        </w:trPr>
        <w:tc>
          <w:tcPr>
            <w:tcW w:w="10916" w:type="dxa"/>
            <w:gridSpan w:val="10"/>
            <w:tcBorders>
              <w:top w:val="nil"/>
              <w:bottom w:val="single" w:sz="4" w:space="0" w:color="auto"/>
            </w:tcBorders>
          </w:tcPr>
          <w:p w14:paraId="048C526C" w14:textId="1A00ED5D" w:rsidR="003D332A" w:rsidRPr="00292037" w:rsidRDefault="003D332A" w:rsidP="00904043">
            <w:pPr>
              <w:ind w:left="889" w:hanging="889"/>
              <w:jc w:val="both"/>
              <w:rPr>
                <w:rFonts w:ascii="Times New Roman" w:hAnsi="Times New Roman" w:cs="Times New Roman"/>
                <w:b/>
                <w:bCs/>
                <w:sz w:val="16"/>
                <w:szCs w:val="16"/>
              </w:rPr>
            </w:pPr>
            <w:r w:rsidRPr="00292037">
              <w:rPr>
                <w:rFonts w:ascii="Times New Roman" w:hAnsi="Times New Roman" w:cs="Times New Roman"/>
              </w:rPr>
              <w:t xml:space="preserve">Table 2. Mean total lactic acid bacteria (CFU/ml) and total actinomycetes (CFU/ml) of indigenous probiotic derived from </w:t>
            </w:r>
            <w:r w:rsidRPr="00292037">
              <w:rPr>
                <w:rFonts w:ascii="Times New Roman" w:hAnsi="Times New Roman" w:cs="Times New Roman"/>
                <w:i/>
                <w:iCs/>
              </w:rPr>
              <w:t>Black Soldier Fly</w:t>
            </w:r>
            <w:r w:rsidRPr="00292037">
              <w:rPr>
                <w:rFonts w:ascii="Times New Roman" w:hAnsi="Times New Roman" w:cs="Times New Roman"/>
              </w:rPr>
              <w:t xml:space="preserve"> larvae</w:t>
            </w:r>
          </w:p>
        </w:tc>
      </w:tr>
      <w:tr w:rsidR="003D332A" w:rsidRPr="00292037" w14:paraId="5D854575" w14:textId="77777777" w:rsidTr="00904043">
        <w:trPr>
          <w:jc w:val="center"/>
        </w:trPr>
        <w:tc>
          <w:tcPr>
            <w:tcW w:w="5387" w:type="dxa"/>
            <w:gridSpan w:val="5"/>
            <w:tcBorders>
              <w:top w:val="single" w:sz="4" w:space="0" w:color="auto"/>
              <w:bottom w:val="single" w:sz="4" w:space="0" w:color="auto"/>
            </w:tcBorders>
          </w:tcPr>
          <w:p w14:paraId="15B501A1" w14:textId="77777777" w:rsidR="003D332A" w:rsidRPr="00292037" w:rsidRDefault="003D332A" w:rsidP="00904043">
            <w:pPr>
              <w:jc w:val="center"/>
              <w:rPr>
                <w:rFonts w:ascii="Times New Roman" w:hAnsi="Times New Roman" w:cs="Times New Roman"/>
                <w:b/>
                <w:bCs/>
                <w:sz w:val="16"/>
                <w:szCs w:val="16"/>
              </w:rPr>
            </w:pPr>
            <w:r w:rsidRPr="00292037">
              <w:rPr>
                <w:rFonts w:ascii="Times New Roman" w:hAnsi="Times New Roman" w:cs="Times New Roman"/>
                <w:b/>
                <w:bCs/>
                <w:sz w:val="16"/>
                <w:szCs w:val="16"/>
              </w:rPr>
              <w:t>Total Lactic Acid Bacteria x 10</w:t>
            </w:r>
            <w:r w:rsidRPr="00292037">
              <w:rPr>
                <w:rFonts w:ascii="Times New Roman" w:hAnsi="Times New Roman" w:cs="Times New Roman"/>
                <w:b/>
                <w:bCs/>
                <w:sz w:val="16"/>
                <w:szCs w:val="16"/>
                <w:vertAlign w:val="superscript"/>
              </w:rPr>
              <w:t xml:space="preserve">7 </w:t>
            </w:r>
            <w:r w:rsidRPr="00292037">
              <w:rPr>
                <w:rFonts w:ascii="Times New Roman" w:hAnsi="Times New Roman" w:cs="Times New Roman"/>
                <w:b/>
                <w:bCs/>
                <w:sz w:val="16"/>
                <w:szCs w:val="16"/>
              </w:rPr>
              <w:t>(CFU/ml)</w:t>
            </w:r>
          </w:p>
        </w:tc>
        <w:tc>
          <w:tcPr>
            <w:tcW w:w="5529" w:type="dxa"/>
            <w:gridSpan w:val="5"/>
            <w:tcBorders>
              <w:top w:val="single" w:sz="4" w:space="0" w:color="auto"/>
              <w:bottom w:val="single" w:sz="4" w:space="0" w:color="auto"/>
            </w:tcBorders>
          </w:tcPr>
          <w:p w14:paraId="5C0C4378" w14:textId="77777777" w:rsidR="003D332A" w:rsidRPr="00292037" w:rsidRDefault="003D332A" w:rsidP="00904043">
            <w:pPr>
              <w:jc w:val="center"/>
              <w:rPr>
                <w:rFonts w:ascii="Times New Roman" w:hAnsi="Times New Roman" w:cs="Times New Roman"/>
                <w:b/>
                <w:bCs/>
                <w:sz w:val="16"/>
                <w:szCs w:val="16"/>
              </w:rPr>
            </w:pPr>
            <w:r w:rsidRPr="00292037">
              <w:rPr>
                <w:rFonts w:ascii="Times New Roman" w:hAnsi="Times New Roman" w:cs="Times New Roman"/>
                <w:b/>
                <w:bCs/>
                <w:sz w:val="16"/>
                <w:szCs w:val="16"/>
              </w:rPr>
              <w:t xml:space="preserve"> Total Actinomycetes x 10</w:t>
            </w:r>
            <w:r w:rsidRPr="00292037">
              <w:rPr>
                <w:rFonts w:ascii="Times New Roman" w:hAnsi="Times New Roman" w:cs="Times New Roman"/>
                <w:b/>
                <w:bCs/>
                <w:sz w:val="16"/>
                <w:szCs w:val="16"/>
                <w:vertAlign w:val="superscript"/>
              </w:rPr>
              <w:t xml:space="preserve">7 </w:t>
            </w:r>
            <w:r w:rsidRPr="00292037">
              <w:rPr>
                <w:rFonts w:ascii="Times New Roman" w:hAnsi="Times New Roman" w:cs="Times New Roman"/>
                <w:b/>
                <w:bCs/>
                <w:sz w:val="16"/>
                <w:szCs w:val="16"/>
              </w:rPr>
              <w:t>(CFU/ml)</w:t>
            </w:r>
          </w:p>
        </w:tc>
      </w:tr>
      <w:tr w:rsidR="003D332A" w:rsidRPr="00292037" w14:paraId="5B81245C" w14:textId="77777777" w:rsidTr="00904043">
        <w:trPr>
          <w:jc w:val="center"/>
        </w:trPr>
        <w:tc>
          <w:tcPr>
            <w:tcW w:w="865" w:type="dxa"/>
            <w:vMerge w:val="restart"/>
            <w:tcBorders>
              <w:top w:val="single" w:sz="4" w:space="0" w:color="auto"/>
              <w:bottom w:val="single" w:sz="4" w:space="0" w:color="auto"/>
            </w:tcBorders>
          </w:tcPr>
          <w:p w14:paraId="5CC684C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A</w:t>
            </w:r>
          </w:p>
          <w:p w14:paraId="46E18A82"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lastRenderedPageBreak/>
              <w:t>(Molasses Level)</w:t>
            </w:r>
          </w:p>
        </w:tc>
        <w:tc>
          <w:tcPr>
            <w:tcW w:w="3390" w:type="dxa"/>
            <w:gridSpan w:val="3"/>
            <w:tcBorders>
              <w:top w:val="single" w:sz="4" w:space="0" w:color="auto"/>
              <w:bottom w:val="single" w:sz="4" w:space="0" w:color="auto"/>
            </w:tcBorders>
          </w:tcPr>
          <w:p w14:paraId="558B757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lastRenderedPageBreak/>
              <w:t>Factor B</w:t>
            </w:r>
          </w:p>
          <w:p w14:paraId="62273B9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(Incubation Time)</w:t>
            </w:r>
          </w:p>
        </w:tc>
        <w:tc>
          <w:tcPr>
            <w:tcW w:w="1132" w:type="dxa"/>
            <w:tcBorders>
              <w:top w:val="single" w:sz="4" w:space="0" w:color="auto"/>
              <w:bottom w:val="single" w:sz="4" w:space="0" w:color="auto"/>
            </w:tcBorders>
          </w:tcPr>
          <w:p w14:paraId="1624E68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870" w:type="dxa"/>
            <w:tcBorders>
              <w:top w:val="single" w:sz="4" w:space="0" w:color="auto"/>
              <w:bottom w:val="single" w:sz="4" w:space="0" w:color="auto"/>
            </w:tcBorders>
          </w:tcPr>
          <w:p w14:paraId="20AC42A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A</w:t>
            </w:r>
          </w:p>
          <w:p w14:paraId="0B86AFD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lastRenderedPageBreak/>
              <w:t>(Molasses Level)</w:t>
            </w:r>
          </w:p>
        </w:tc>
        <w:tc>
          <w:tcPr>
            <w:tcW w:w="3525" w:type="dxa"/>
            <w:gridSpan w:val="3"/>
            <w:tcBorders>
              <w:top w:val="single" w:sz="4" w:space="0" w:color="auto"/>
              <w:bottom w:val="single" w:sz="4" w:space="0" w:color="auto"/>
            </w:tcBorders>
          </w:tcPr>
          <w:p w14:paraId="49142EB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lastRenderedPageBreak/>
              <w:t>Factor B</w:t>
            </w:r>
          </w:p>
          <w:p w14:paraId="2650B5A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(Incubation Time)</w:t>
            </w:r>
          </w:p>
        </w:tc>
        <w:tc>
          <w:tcPr>
            <w:tcW w:w="1134" w:type="dxa"/>
            <w:tcBorders>
              <w:top w:val="single" w:sz="4" w:space="0" w:color="auto"/>
              <w:bottom w:val="single" w:sz="4" w:space="0" w:color="auto"/>
            </w:tcBorders>
          </w:tcPr>
          <w:p w14:paraId="0156016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r>
      <w:tr w:rsidR="003D332A" w:rsidRPr="00292037" w14:paraId="0EFDEEBF" w14:textId="77777777" w:rsidTr="00904043">
        <w:trPr>
          <w:jc w:val="center"/>
        </w:trPr>
        <w:tc>
          <w:tcPr>
            <w:tcW w:w="865" w:type="dxa"/>
            <w:vMerge/>
            <w:tcBorders>
              <w:top w:val="single" w:sz="4" w:space="0" w:color="auto"/>
              <w:bottom w:val="single" w:sz="4" w:space="0" w:color="auto"/>
            </w:tcBorders>
          </w:tcPr>
          <w:p w14:paraId="045CCA00" w14:textId="77777777" w:rsidR="003D332A" w:rsidRPr="00292037" w:rsidRDefault="003D332A" w:rsidP="00904043">
            <w:pPr>
              <w:jc w:val="center"/>
              <w:rPr>
                <w:rFonts w:ascii="Times New Roman" w:hAnsi="Times New Roman" w:cs="Times New Roman"/>
                <w:sz w:val="16"/>
                <w:szCs w:val="16"/>
              </w:rPr>
            </w:pPr>
          </w:p>
        </w:tc>
        <w:tc>
          <w:tcPr>
            <w:tcW w:w="1120" w:type="dxa"/>
            <w:tcBorders>
              <w:top w:val="single" w:sz="4" w:space="0" w:color="auto"/>
              <w:bottom w:val="single" w:sz="4" w:space="0" w:color="auto"/>
            </w:tcBorders>
          </w:tcPr>
          <w:p w14:paraId="76BE022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B1</w:t>
            </w:r>
          </w:p>
        </w:tc>
        <w:tc>
          <w:tcPr>
            <w:tcW w:w="1134" w:type="dxa"/>
            <w:tcBorders>
              <w:top w:val="single" w:sz="4" w:space="0" w:color="auto"/>
              <w:bottom w:val="single" w:sz="4" w:space="0" w:color="auto"/>
            </w:tcBorders>
          </w:tcPr>
          <w:p w14:paraId="72651C5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B2</w:t>
            </w:r>
          </w:p>
        </w:tc>
        <w:tc>
          <w:tcPr>
            <w:tcW w:w="1136" w:type="dxa"/>
            <w:tcBorders>
              <w:top w:val="single" w:sz="4" w:space="0" w:color="auto"/>
              <w:bottom w:val="single" w:sz="4" w:space="0" w:color="auto"/>
            </w:tcBorders>
          </w:tcPr>
          <w:p w14:paraId="2BFDC3E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B3</w:t>
            </w:r>
          </w:p>
        </w:tc>
        <w:tc>
          <w:tcPr>
            <w:tcW w:w="1132" w:type="dxa"/>
            <w:tcBorders>
              <w:top w:val="single" w:sz="4" w:space="0" w:color="auto"/>
              <w:bottom w:val="single" w:sz="4" w:space="0" w:color="auto"/>
            </w:tcBorders>
          </w:tcPr>
          <w:p w14:paraId="415022BF" w14:textId="77777777" w:rsidR="003D332A" w:rsidRPr="00292037" w:rsidRDefault="003D332A" w:rsidP="00904043">
            <w:pPr>
              <w:jc w:val="center"/>
              <w:rPr>
                <w:rFonts w:ascii="Times New Roman" w:hAnsi="Times New Roman" w:cs="Times New Roman"/>
                <w:sz w:val="16"/>
                <w:szCs w:val="16"/>
              </w:rPr>
            </w:pPr>
          </w:p>
        </w:tc>
        <w:tc>
          <w:tcPr>
            <w:tcW w:w="870" w:type="dxa"/>
            <w:tcBorders>
              <w:top w:val="single" w:sz="4" w:space="0" w:color="auto"/>
              <w:bottom w:val="single" w:sz="4" w:space="0" w:color="auto"/>
            </w:tcBorders>
          </w:tcPr>
          <w:p w14:paraId="3A51BFF8" w14:textId="77777777" w:rsidR="003D332A" w:rsidRPr="00292037" w:rsidRDefault="003D332A" w:rsidP="00904043">
            <w:pPr>
              <w:jc w:val="center"/>
              <w:rPr>
                <w:rFonts w:ascii="Times New Roman" w:hAnsi="Times New Roman" w:cs="Times New Roman"/>
                <w:sz w:val="16"/>
                <w:szCs w:val="16"/>
              </w:rPr>
            </w:pPr>
          </w:p>
        </w:tc>
        <w:tc>
          <w:tcPr>
            <w:tcW w:w="1257" w:type="dxa"/>
            <w:tcBorders>
              <w:top w:val="single" w:sz="4" w:space="0" w:color="auto"/>
              <w:bottom w:val="single" w:sz="4" w:space="0" w:color="auto"/>
            </w:tcBorders>
          </w:tcPr>
          <w:p w14:paraId="6D3E6AF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B1</w:t>
            </w:r>
          </w:p>
        </w:tc>
        <w:tc>
          <w:tcPr>
            <w:tcW w:w="1134" w:type="dxa"/>
            <w:tcBorders>
              <w:top w:val="single" w:sz="4" w:space="0" w:color="auto"/>
              <w:bottom w:val="single" w:sz="4" w:space="0" w:color="auto"/>
            </w:tcBorders>
          </w:tcPr>
          <w:p w14:paraId="0E9AE98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B2</w:t>
            </w:r>
          </w:p>
        </w:tc>
        <w:tc>
          <w:tcPr>
            <w:tcW w:w="1134" w:type="dxa"/>
            <w:tcBorders>
              <w:top w:val="single" w:sz="4" w:space="0" w:color="auto"/>
              <w:bottom w:val="single" w:sz="4" w:space="0" w:color="auto"/>
            </w:tcBorders>
          </w:tcPr>
          <w:p w14:paraId="67FD279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B3</w:t>
            </w:r>
          </w:p>
        </w:tc>
        <w:tc>
          <w:tcPr>
            <w:tcW w:w="1134" w:type="dxa"/>
            <w:tcBorders>
              <w:top w:val="single" w:sz="4" w:space="0" w:color="auto"/>
              <w:bottom w:val="single" w:sz="4" w:space="0" w:color="auto"/>
            </w:tcBorders>
          </w:tcPr>
          <w:p w14:paraId="75E5E137" w14:textId="77777777" w:rsidR="003D332A" w:rsidRPr="00292037" w:rsidRDefault="003D332A" w:rsidP="00904043">
            <w:pPr>
              <w:jc w:val="center"/>
              <w:rPr>
                <w:rFonts w:ascii="Times New Roman" w:hAnsi="Times New Roman" w:cs="Times New Roman"/>
                <w:sz w:val="16"/>
                <w:szCs w:val="16"/>
              </w:rPr>
            </w:pPr>
          </w:p>
        </w:tc>
      </w:tr>
      <w:tr w:rsidR="003D332A" w:rsidRPr="00292037" w14:paraId="38A2A057" w14:textId="77777777" w:rsidTr="00904043">
        <w:trPr>
          <w:jc w:val="center"/>
        </w:trPr>
        <w:tc>
          <w:tcPr>
            <w:tcW w:w="865" w:type="dxa"/>
            <w:tcBorders>
              <w:top w:val="single" w:sz="4" w:space="0" w:color="auto"/>
            </w:tcBorders>
          </w:tcPr>
          <w:p w14:paraId="3EBCE14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A1</w:t>
            </w:r>
          </w:p>
        </w:tc>
        <w:tc>
          <w:tcPr>
            <w:tcW w:w="1120" w:type="dxa"/>
            <w:tcBorders>
              <w:top w:val="single" w:sz="4" w:space="0" w:color="auto"/>
            </w:tcBorders>
          </w:tcPr>
          <w:p w14:paraId="6F1BADC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2.60 ± 0.40</w:t>
            </w:r>
            <w:r w:rsidRPr="00292037">
              <w:rPr>
                <w:rFonts w:ascii="Times New Roman" w:hAnsi="Times New Roman" w:cs="Times New Roman"/>
                <w:sz w:val="16"/>
                <w:szCs w:val="16"/>
                <w:vertAlign w:val="superscript"/>
              </w:rPr>
              <w:t>ef</w:t>
            </w:r>
          </w:p>
        </w:tc>
        <w:tc>
          <w:tcPr>
            <w:tcW w:w="1134" w:type="dxa"/>
            <w:tcBorders>
              <w:top w:val="single" w:sz="4" w:space="0" w:color="auto"/>
            </w:tcBorders>
          </w:tcPr>
          <w:p w14:paraId="13E743C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3.13 ± 0.85</w:t>
            </w:r>
            <w:r w:rsidRPr="00292037">
              <w:rPr>
                <w:rFonts w:ascii="Times New Roman" w:hAnsi="Times New Roman" w:cs="Times New Roman"/>
                <w:sz w:val="16"/>
                <w:szCs w:val="16"/>
                <w:vertAlign w:val="superscript"/>
              </w:rPr>
              <w:t>e</w:t>
            </w:r>
          </w:p>
        </w:tc>
        <w:tc>
          <w:tcPr>
            <w:tcW w:w="1136" w:type="dxa"/>
            <w:tcBorders>
              <w:top w:val="single" w:sz="4" w:space="0" w:color="auto"/>
            </w:tcBorders>
          </w:tcPr>
          <w:p w14:paraId="2A1EF218"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0.60 ± 0.50</w:t>
            </w:r>
            <w:r w:rsidRPr="00292037">
              <w:rPr>
                <w:rFonts w:ascii="Times New Roman" w:hAnsi="Times New Roman" w:cs="Times New Roman"/>
                <w:sz w:val="16"/>
                <w:szCs w:val="16"/>
                <w:vertAlign w:val="superscript"/>
              </w:rPr>
              <w:t>f</w:t>
            </w:r>
          </w:p>
        </w:tc>
        <w:tc>
          <w:tcPr>
            <w:tcW w:w="1132" w:type="dxa"/>
            <w:tcBorders>
              <w:top w:val="single" w:sz="4" w:space="0" w:color="auto"/>
            </w:tcBorders>
          </w:tcPr>
          <w:p w14:paraId="003A584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2.11 ± 1.27</w:t>
            </w:r>
          </w:p>
        </w:tc>
        <w:tc>
          <w:tcPr>
            <w:tcW w:w="870" w:type="dxa"/>
            <w:tcBorders>
              <w:top w:val="single" w:sz="4" w:space="0" w:color="auto"/>
            </w:tcBorders>
          </w:tcPr>
          <w:p w14:paraId="5959D2F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A1</w:t>
            </w:r>
          </w:p>
        </w:tc>
        <w:tc>
          <w:tcPr>
            <w:tcW w:w="1257" w:type="dxa"/>
            <w:tcBorders>
              <w:top w:val="single" w:sz="4" w:space="0" w:color="auto"/>
            </w:tcBorders>
          </w:tcPr>
          <w:p w14:paraId="66003862"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0.87 ± 0.65</w:t>
            </w:r>
            <w:r w:rsidRPr="00292037">
              <w:rPr>
                <w:rFonts w:ascii="Times New Roman" w:hAnsi="Times New Roman" w:cs="Times New Roman"/>
                <w:sz w:val="16"/>
                <w:szCs w:val="16"/>
                <w:vertAlign w:val="superscript"/>
              </w:rPr>
              <w:t>d</w:t>
            </w:r>
          </w:p>
        </w:tc>
        <w:tc>
          <w:tcPr>
            <w:tcW w:w="1134" w:type="dxa"/>
            <w:tcBorders>
              <w:top w:val="single" w:sz="4" w:space="0" w:color="auto"/>
            </w:tcBorders>
          </w:tcPr>
          <w:p w14:paraId="317FF53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1.27 ± 0.25</w:t>
            </w:r>
            <w:r w:rsidRPr="00292037">
              <w:rPr>
                <w:rFonts w:ascii="Times New Roman" w:hAnsi="Times New Roman" w:cs="Times New Roman"/>
                <w:sz w:val="16"/>
                <w:szCs w:val="16"/>
                <w:vertAlign w:val="superscript"/>
              </w:rPr>
              <w:t>bcd</w:t>
            </w:r>
          </w:p>
        </w:tc>
        <w:tc>
          <w:tcPr>
            <w:tcW w:w="1134" w:type="dxa"/>
            <w:tcBorders>
              <w:top w:val="single" w:sz="4" w:space="0" w:color="auto"/>
            </w:tcBorders>
          </w:tcPr>
          <w:p w14:paraId="14EF5B9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1.20 ± 0.75</w:t>
            </w:r>
            <w:r w:rsidRPr="00292037">
              <w:rPr>
                <w:rFonts w:ascii="Times New Roman" w:hAnsi="Times New Roman" w:cs="Times New Roman"/>
                <w:sz w:val="16"/>
                <w:szCs w:val="16"/>
                <w:vertAlign w:val="superscript"/>
              </w:rPr>
              <w:t>cd</w:t>
            </w:r>
          </w:p>
        </w:tc>
        <w:tc>
          <w:tcPr>
            <w:tcW w:w="1134" w:type="dxa"/>
            <w:tcBorders>
              <w:top w:val="single" w:sz="4" w:space="0" w:color="auto"/>
            </w:tcBorders>
          </w:tcPr>
          <w:p w14:paraId="3D992EB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1.11 ± 0.55</w:t>
            </w:r>
          </w:p>
        </w:tc>
      </w:tr>
      <w:tr w:rsidR="003D332A" w:rsidRPr="00292037" w14:paraId="2DC362C7" w14:textId="77777777" w:rsidTr="00904043">
        <w:trPr>
          <w:jc w:val="center"/>
        </w:trPr>
        <w:tc>
          <w:tcPr>
            <w:tcW w:w="865" w:type="dxa"/>
          </w:tcPr>
          <w:p w14:paraId="51EDEC5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A2</w:t>
            </w:r>
          </w:p>
        </w:tc>
        <w:tc>
          <w:tcPr>
            <w:tcW w:w="1120" w:type="dxa"/>
          </w:tcPr>
          <w:p w14:paraId="2F91A5E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6.13 ± 1.85</w:t>
            </w:r>
            <w:r w:rsidRPr="00292037">
              <w:rPr>
                <w:rFonts w:ascii="Times New Roman" w:hAnsi="Times New Roman" w:cs="Times New Roman"/>
                <w:sz w:val="16"/>
                <w:szCs w:val="16"/>
                <w:vertAlign w:val="superscript"/>
              </w:rPr>
              <w:t>d</w:t>
            </w:r>
          </w:p>
        </w:tc>
        <w:tc>
          <w:tcPr>
            <w:tcW w:w="1134" w:type="dxa"/>
          </w:tcPr>
          <w:p w14:paraId="0197051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21.17 ± 1.67</w:t>
            </w:r>
            <w:r w:rsidRPr="00292037">
              <w:rPr>
                <w:rFonts w:ascii="Times New Roman" w:hAnsi="Times New Roman" w:cs="Times New Roman"/>
                <w:sz w:val="16"/>
                <w:szCs w:val="16"/>
                <w:vertAlign w:val="superscript"/>
              </w:rPr>
              <w:t>a</w:t>
            </w:r>
          </w:p>
        </w:tc>
        <w:tc>
          <w:tcPr>
            <w:tcW w:w="1136" w:type="dxa"/>
          </w:tcPr>
          <w:p w14:paraId="19A9DE6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12.57 ± 2.10</w:t>
            </w:r>
            <w:r w:rsidRPr="00292037">
              <w:rPr>
                <w:rFonts w:ascii="Times New Roman" w:hAnsi="Times New Roman" w:cs="Times New Roman"/>
                <w:sz w:val="16"/>
                <w:szCs w:val="16"/>
                <w:vertAlign w:val="superscript"/>
              </w:rPr>
              <w:t>bc</w:t>
            </w:r>
          </w:p>
        </w:tc>
        <w:tc>
          <w:tcPr>
            <w:tcW w:w="1132" w:type="dxa"/>
          </w:tcPr>
          <w:p w14:paraId="24C4DF1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13.29 ± 6.73</w:t>
            </w:r>
          </w:p>
        </w:tc>
        <w:tc>
          <w:tcPr>
            <w:tcW w:w="870" w:type="dxa"/>
          </w:tcPr>
          <w:p w14:paraId="2FB069D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A2</w:t>
            </w:r>
          </w:p>
        </w:tc>
        <w:tc>
          <w:tcPr>
            <w:tcW w:w="1257" w:type="dxa"/>
          </w:tcPr>
          <w:p w14:paraId="1DDA0AF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2.13 ± 0.06</w:t>
            </w:r>
            <w:r w:rsidRPr="00292037">
              <w:rPr>
                <w:rFonts w:ascii="Times New Roman" w:hAnsi="Times New Roman" w:cs="Times New Roman"/>
                <w:sz w:val="16"/>
                <w:szCs w:val="16"/>
                <w:vertAlign w:val="superscript"/>
              </w:rPr>
              <w:t>b</w:t>
            </w:r>
          </w:p>
        </w:tc>
        <w:tc>
          <w:tcPr>
            <w:tcW w:w="1134" w:type="dxa"/>
          </w:tcPr>
          <w:p w14:paraId="50E315A8"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3.90 ± 0.35</w:t>
            </w:r>
            <w:r w:rsidRPr="00292037">
              <w:rPr>
                <w:rFonts w:ascii="Times New Roman" w:hAnsi="Times New Roman" w:cs="Times New Roman"/>
                <w:sz w:val="16"/>
                <w:szCs w:val="16"/>
                <w:vertAlign w:val="superscript"/>
              </w:rPr>
              <w:t>a</w:t>
            </w:r>
          </w:p>
        </w:tc>
        <w:tc>
          <w:tcPr>
            <w:tcW w:w="1134" w:type="dxa"/>
          </w:tcPr>
          <w:p w14:paraId="32C2BC8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3.10 ± 0.40</w:t>
            </w:r>
            <w:r w:rsidRPr="00292037">
              <w:rPr>
                <w:rFonts w:ascii="Times New Roman" w:hAnsi="Times New Roman" w:cs="Times New Roman"/>
                <w:sz w:val="16"/>
                <w:szCs w:val="16"/>
                <w:vertAlign w:val="superscript"/>
              </w:rPr>
              <w:t>a</w:t>
            </w:r>
          </w:p>
        </w:tc>
        <w:tc>
          <w:tcPr>
            <w:tcW w:w="1134" w:type="dxa"/>
          </w:tcPr>
          <w:p w14:paraId="73C6D41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3.04 ± 0.81</w:t>
            </w:r>
          </w:p>
        </w:tc>
      </w:tr>
      <w:tr w:rsidR="003D332A" w:rsidRPr="00292037" w14:paraId="33422044" w14:textId="77777777" w:rsidTr="00904043">
        <w:trPr>
          <w:jc w:val="center"/>
        </w:trPr>
        <w:tc>
          <w:tcPr>
            <w:tcW w:w="865" w:type="dxa"/>
            <w:tcBorders>
              <w:bottom w:val="single" w:sz="4" w:space="0" w:color="auto"/>
            </w:tcBorders>
          </w:tcPr>
          <w:p w14:paraId="3BB13FD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A3</w:t>
            </w:r>
          </w:p>
        </w:tc>
        <w:tc>
          <w:tcPr>
            <w:tcW w:w="1120" w:type="dxa"/>
            <w:tcBorders>
              <w:bottom w:val="single" w:sz="4" w:space="0" w:color="auto"/>
            </w:tcBorders>
          </w:tcPr>
          <w:p w14:paraId="19EAE2E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13.83 ± 1.44</w:t>
            </w:r>
            <w:r w:rsidRPr="00292037">
              <w:rPr>
                <w:rFonts w:ascii="Times New Roman" w:hAnsi="Times New Roman" w:cs="Times New Roman"/>
                <w:sz w:val="16"/>
                <w:szCs w:val="16"/>
                <w:vertAlign w:val="superscript"/>
              </w:rPr>
              <w:t>b</w:t>
            </w:r>
          </w:p>
        </w:tc>
        <w:tc>
          <w:tcPr>
            <w:tcW w:w="1134" w:type="dxa"/>
            <w:tcBorders>
              <w:bottom w:val="single" w:sz="4" w:space="0" w:color="auto"/>
            </w:tcBorders>
          </w:tcPr>
          <w:p w14:paraId="630EF8C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21.80 ± 0.62</w:t>
            </w:r>
            <w:r w:rsidRPr="00292037">
              <w:rPr>
                <w:rFonts w:ascii="Times New Roman" w:hAnsi="Times New Roman" w:cs="Times New Roman"/>
                <w:sz w:val="16"/>
                <w:szCs w:val="16"/>
                <w:vertAlign w:val="superscript"/>
              </w:rPr>
              <w:t>a</w:t>
            </w:r>
          </w:p>
        </w:tc>
        <w:tc>
          <w:tcPr>
            <w:tcW w:w="1136" w:type="dxa"/>
            <w:tcBorders>
              <w:bottom w:val="single" w:sz="4" w:space="0" w:color="auto"/>
            </w:tcBorders>
          </w:tcPr>
          <w:p w14:paraId="5069D93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10.70 ± 0.61</w:t>
            </w:r>
            <w:r w:rsidRPr="00292037">
              <w:rPr>
                <w:rFonts w:ascii="Times New Roman" w:hAnsi="Times New Roman" w:cs="Times New Roman"/>
                <w:sz w:val="16"/>
                <w:szCs w:val="16"/>
                <w:vertAlign w:val="superscript"/>
              </w:rPr>
              <w:t>dc</w:t>
            </w:r>
          </w:p>
        </w:tc>
        <w:tc>
          <w:tcPr>
            <w:tcW w:w="1132" w:type="dxa"/>
          </w:tcPr>
          <w:p w14:paraId="07BF937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15.44 ± 5.03</w:t>
            </w:r>
          </w:p>
        </w:tc>
        <w:tc>
          <w:tcPr>
            <w:tcW w:w="870" w:type="dxa"/>
            <w:tcBorders>
              <w:bottom w:val="single" w:sz="4" w:space="0" w:color="auto"/>
            </w:tcBorders>
          </w:tcPr>
          <w:p w14:paraId="5B88E65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A3</w:t>
            </w:r>
          </w:p>
        </w:tc>
        <w:tc>
          <w:tcPr>
            <w:tcW w:w="1257" w:type="dxa"/>
            <w:tcBorders>
              <w:bottom w:val="single" w:sz="4" w:space="0" w:color="auto"/>
            </w:tcBorders>
          </w:tcPr>
          <w:p w14:paraId="2DF97498"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3.07 ± 0.25</w:t>
            </w:r>
            <w:r w:rsidRPr="00292037">
              <w:rPr>
                <w:rFonts w:ascii="Times New Roman" w:hAnsi="Times New Roman" w:cs="Times New Roman"/>
                <w:sz w:val="16"/>
                <w:szCs w:val="16"/>
                <w:vertAlign w:val="superscript"/>
              </w:rPr>
              <w:t>a</w:t>
            </w:r>
          </w:p>
        </w:tc>
        <w:tc>
          <w:tcPr>
            <w:tcW w:w="1134" w:type="dxa"/>
            <w:tcBorders>
              <w:bottom w:val="single" w:sz="4" w:space="0" w:color="auto"/>
            </w:tcBorders>
          </w:tcPr>
          <w:p w14:paraId="55FAAEA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3.73 ± 0.38</w:t>
            </w:r>
            <w:r w:rsidRPr="00292037">
              <w:rPr>
                <w:rFonts w:ascii="Times New Roman" w:hAnsi="Times New Roman" w:cs="Times New Roman"/>
                <w:sz w:val="16"/>
                <w:szCs w:val="16"/>
                <w:vertAlign w:val="superscript"/>
              </w:rPr>
              <w:t>a</w:t>
            </w:r>
          </w:p>
        </w:tc>
        <w:tc>
          <w:tcPr>
            <w:tcW w:w="1134" w:type="dxa"/>
            <w:tcBorders>
              <w:bottom w:val="single" w:sz="4" w:space="0" w:color="auto"/>
            </w:tcBorders>
          </w:tcPr>
          <w:p w14:paraId="0D0B28C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1.97 ± 0.85</w:t>
            </w:r>
            <w:r w:rsidRPr="00292037">
              <w:rPr>
                <w:rFonts w:ascii="Times New Roman" w:hAnsi="Times New Roman" w:cs="Times New Roman"/>
                <w:sz w:val="16"/>
                <w:szCs w:val="16"/>
                <w:vertAlign w:val="superscript"/>
              </w:rPr>
              <w:t>bc</w:t>
            </w:r>
          </w:p>
        </w:tc>
        <w:tc>
          <w:tcPr>
            <w:tcW w:w="1134" w:type="dxa"/>
          </w:tcPr>
          <w:p w14:paraId="0028AB59" w14:textId="1840C005" w:rsidR="003D332A" w:rsidRPr="00292037" w:rsidRDefault="009F7B81" w:rsidP="00904043">
            <w:pPr>
              <w:jc w:val="center"/>
              <w:rPr>
                <w:rFonts w:ascii="Times New Roman" w:hAnsi="Times New Roman" w:cs="Times New Roman"/>
                <w:sz w:val="16"/>
                <w:szCs w:val="16"/>
              </w:rPr>
            </w:pPr>
            <w:r w:rsidRPr="00292037">
              <w:rPr>
                <w:rFonts w:ascii="Times New Roman" w:hAnsi="Times New Roman" w:cs="Times New Roman"/>
                <w:sz w:val="16"/>
                <w:szCs w:val="16"/>
              </w:rPr>
              <w:t>2.92</w:t>
            </w:r>
            <w:r w:rsidR="003D332A" w:rsidRPr="00292037">
              <w:rPr>
                <w:rFonts w:ascii="Times New Roman" w:hAnsi="Times New Roman" w:cs="Times New Roman"/>
                <w:sz w:val="16"/>
                <w:szCs w:val="16"/>
              </w:rPr>
              <w:t xml:space="preserve"> ± 0.91</w:t>
            </w:r>
          </w:p>
        </w:tc>
      </w:tr>
      <w:tr w:rsidR="003D332A" w:rsidRPr="00292037" w14:paraId="1942A2C0" w14:textId="77777777" w:rsidTr="00904043">
        <w:trPr>
          <w:jc w:val="center"/>
        </w:trPr>
        <w:tc>
          <w:tcPr>
            <w:tcW w:w="865" w:type="dxa"/>
            <w:tcBorders>
              <w:top w:val="single" w:sz="4" w:space="0" w:color="auto"/>
              <w:bottom w:val="single" w:sz="4" w:space="0" w:color="auto"/>
            </w:tcBorders>
          </w:tcPr>
          <w:p w14:paraId="0ADCAD9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1120" w:type="dxa"/>
            <w:tcBorders>
              <w:top w:val="single" w:sz="4" w:space="0" w:color="auto"/>
              <w:bottom w:val="single" w:sz="4" w:space="0" w:color="auto"/>
            </w:tcBorders>
          </w:tcPr>
          <w:p w14:paraId="4EFD514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7.52 ± 5.11</w:t>
            </w:r>
          </w:p>
        </w:tc>
        <w:tc>
          <w:tcPr>
            <w:tcW w:w="1134" w:type="dxa"/>
            <w:tcBorders>
              <w:top w:val="single" w:sz="4" w:space="0" w:color="auto"/>
              <w:bottom w:val="single" w:sz="4" w:space="0" w:color="auto"/>
            </w:tcBorders>
          </w:tcPr>
          <w:p w14:paraId="6722EFB2"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15.37 ± 9.23</w:t>
            </w:r>
          </w:p>
        </w:tc>
        <w:tc>
          <w:tcPr>
            <w:tcW w:w="1136" w:type="dxa"/>
            <w:tcBorders>
              <w:top w:val="single" w:sz="4" w:space="0" w:color="auto"/>
              <w:bottom w:val="single" w:sz="4" w:space="0" w:color="auto"/>
            </w:tcBorders>
          </w:tcPr>
          <w:p w14:paraId="42526BA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7.96 ± 5.69</w:t>
            </w:r>
          </w:p>
        </w:tc>
        <w:tc>
          <w:tcPr>
            <w:tcW w:w="1132" w:type="dxa"/>
          </w:tcPr>
          <w:p w14:paraId="6EF81C3C" w14:textId="77777777" w:rsidR="003D332A" w:rsidRPr="00292037" w:rsidRDefault="003D332A" w:rsidP="00904043">
            <w:pPr>
              <w:jc w:val="center"/>
              <w:rPr>
                <w:rFonts w:ascii="Times New Roman" w:hAnsi="Times New Roman" w:cs="Times New Roman"/>
                <w:sz w:val="16"/>
                <w:szCs w:val="16"/>
              </w:rPr>
            </w:pPr>
          </w:p>
        </w:tc>
        <w:tc>
          <w:tcPr>
            <w:tcW w:w="870" w:type="dxa"/>
            <w:tcBorders>
              <w:top w:val="single" w:sz="4" w:space="0" w:color="auto"/>
              <w:bottom w:val="single" w:sz="4" w:space="0" w:color="auto"/>
            </w:tcBorders>
          </w:tcPr>
          <w:p w14:paraId="3F6029B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1257" w:type="dxa"/>
            <w:tcBorders>
              <w:top w:val="single" w:sz="4" w:space="0" w:color="auto"/>
              <w:bottom w:val="single" w:sz="4" w:space="0" w:color="auto"/>
            </w:tcBorders>
          </w:tcPr>
          <w:p w14:paraId="672C944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2.02 ± 1.02</w:t>
            </w:r>
          </w:p>
        </w:tc>
        <w:tc>
          <w:tcPr>
            <w:tcW w:w="1134" w:type="dxa"/>
            <w:tcBorders>
              <w:top w:val="single" w:sz="4" w:space="0" w:color="auto"/>
              <w:bottom w:val="single" w:sz="4" w:space="0" w:color="auto"/>
            </w:tcBorders>
          </w:tcPr>
          <w:p w14:paraId="3440BF2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2.97 ± 1.31</w:t>
            </w:r>
          </w:p>
        </w:tc>
        <w:tc>
          <w:tcPr>
            <w:tcW w:w="1134" w:type="dxa"/>
            <w:tcBorders>
              <w:top w:val="single" w:sz="4" w:space="0" w:color="auto"/>
              <w:bottom w:val="single" w:sz="4" w:space="0" w:color="auto"/>
            </w:tcBorders>
          </w:tcPr>
          <w:p w14:paraId="32F336A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2.09 ± 1.02</w:t>
            </w:r>
          </w:p>
        </w:tc>
        <w:tc>
          <w:tcPr>
            <w:tcW w:w="1134" w:type="dxa"/>
          </w:tcPr>
          <w:p w14:paraId="37858B6D" w14:textId="77777777" w:rsidR="003D332A" w:rsidRPr="00292037" w:rsidRDefault="003D332A" w:rsidP="00904043">
            <w:pPr>
              <w:jc w:val="center"/>
              <w:rPr>
                <w:rFonts w:ascii="Times New Roman" w:hAnsi="Times New Roman" w:cs="Times New Roman"/>
                <w:sz w:val="16"/>
                <w:szCs w:val="16"/>
              </w:rPr>
            </w:pPr>
          </w:p>
        </w:tc>
      </w:tr>
    </w:tbl>
    <w:p w14:paraId="2C6A6489" w14:textId="0A948887" w:rsidR="003D332A" w:rsidRPr="00292037" w:rsidRDefault="003D332A" w:rsidP="003D332A">
      <w:pPr>
        <w:jc w:val="both"/>
        <w:rPr>
          <w:rFonts w:ascii="Times New Roman" w:hAnsi="Times New Roman" w:cs="Times New Roman"/>
          <w:sz w:val="16"/>
          <w:szCs w:val="16"/>
        </w:rPr>
      </w:pPr>
      <w:r w:rsidRPr="00292037">
        <w:rPr>
          <w:rFonts w:ascii="Times New Roman" w:hAnsi="Times New Roman" w:cs="Times New Roman"/>
          <w:sz w:val="16"/>
          <w:szCs w:val="16"/>
        </w:rPr>
        <w:t>Note: A1= 0% molasses, A2= 50% molasses, A3= 100% molasses; B1= 5 days of incubation, B2= 10 days of incubation, B3= 15 days of incubation; values are presented as mean ± standard deviation (n=3). Means with different superscript letters within the same row or column differ significantly (P</w:t>
      </w:r>
      <w:r w:rsidR="00C8085C" w:rsidRPr="00292037">
        <w:rPr>
          <w:rFonts w:ascii="Times New Roman" w:hAnsi="Times New Roman" w:cs="Times New Roman"/>
          <w:sz w:val="16"/>
          <w:szCs w:val="16"/>
        </w:rPr>
        <w:t>&lt;</w:t>
      </w:r>
      <w:r w:rsidRPr="00292037">
        <w:rPr>
          <w:rFonts w:ascii="Times New Roman" w:hAnsi="Times New Roman" w:cs="Times New Roman"/>
          <w:sz w:val="16"/>
          <w:szCs w:val="16"/>
        </w:rPr>
        <w:t>0.05). A significant interaction (P</w:t>
      </w:r>
      <w:r w:rsidR="00C8085C" w:rsidRPr="00292037">
        <w:rPr>
          <w:rFonts w:ascii="Times New Roman" w:hAnsi="Times New Roman" w:cs="Times New Roman"/>
          <w:sz w:val="16"/>
          <w:szCs w:val="16"/>
        </w:rPr>
        <w:t>&lt;</w:t>
      </w:r>
      <w:r w:rsidRPr="00292037">
        <w:rPr>
          <w:rFonts w:ascii="Times New Roman" w:hAnsi="Times New Roman" w:cs="Times New Roman"/>
          <w:sz w:val="16"/>
          <w:szCs w:val="16"/>
        </w:rPr>
        <w:t>0.05) between molasses level (A) and incubation time (B) was observed. Mean values of A and B (± SD) are shown for descriptive purposes only.</w:t>
      </w:r>
    </w:p>
    <w:p w14:paraId="67E7DC4B" w14:textId="77777777" w:rsidR="003D332A" w:rsidRPr="00292037" w:rsidRDefault="003D332A" w:rsidP="003D332A">
      <w:pPr>
        <w:jc w:val="both"/>
        <w:rPr>
          <w:rFonts w:ascii="Times New Roman" w:hAnsi="Times New Roman" w:cs="Times New Roman"/>
          <w:sz w:val="16"/>
          <w:szCs w:val="16"/>
        </w:rPr>
      </w:pPr>
    </w:p>
    <w:tbl>
      <w:tblPr>
        <w:tblStyle w:val="TableGrid"/>
        <w:tblW w:w="109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120"/>
        <w:gridCol w:w="1134"/>
        <w:gridCol w:w="1136"/>
        <w:gridCol w:w="1132"/>
        <w:gridCol w:w="870"/>
        <w:gridCol w:w="1257"/>
        <w:gridCol w:w="1134"/>
        <w:gridCol w:w="1134"/>
        <w:gridCol w:w="1134"/>
      </w:tblGrid>
      <w:tr w:rsidR="003D332A" w:rsidRPr="00292037" w14:paraId="7FC37E00" w14:textId="77777777" w:rsidTr="00904043">
        <w:trPr>
          <w:jc w:val="center"/>
        </w:trPr>
        <w:tc>
          <w:tcPr>
            <w:tcW w:w="10916" w:type="dxa"/>
            <w:gridSpan w:val="10"/>
            <w:tcBorders>
              <w:top w:val="nil"/>
              <w:bottom w:val="single" w:sz="4" w:space="0" w:color="auto"/>
            </w:tcBorders>
          </w:tcPr>
          <w:p w14:paraId="4000F4FE" w14:textId="446CBC7D" w:rsidR="003D332A" w:rsidRPr="00292037" w:rsidRDefault="003D332A" w:rsidP="00904043">
            <w:pPr>
              <w:ind w:left="747" w:hanging="747"/>
              <w:jc w:val="both"/>
              <w:rPr>
                <w:rFonts w:ascii="Times New Roman" w:hAnsi="Times New Roman" w:cs="Times New Roman"/>
                <w:b/>
                <w:bCs/>
                <w:sz w:val="16"/>
                <w:szCs w:val="16"/>
              </w:rPr>
            </w:pPr>
            <w:r w:rsidRPr="00292037">
              <w:rPr>
                <w:rFonts w:ascii="Times New Roman" w:hAnsi="Times New Roman" w:cs="Times New Roman"/>
              </w:rPr>
              <w:t xml:space="preserve">Table 3. Mean total </w:t>
            </w:r>
            <w:r w:rsidRPr="00292037">
              <w:rPr>
                <w:rFonts w:ascii="Times New Roman" w:hAnsi="Times New Roman" w:cs="Times New Roman"/>
                <w:i/>
                <w:iCs/>
              </w:rPr>
              <w:t>Bacillus sp.</w:t>
            </w:r>
            <w:r w:rsidRPr="00292037">
              <w:rPr>
                <w:rFonts w:ascii="Times New Roman" w:hAnsi="Times New Roman" w:cs="Times New Roman"/>
              </w:rPr>
              <w:t xml:space="preserve"> (CFU/ml) and total yeast (CFU/ml) of indigenous probiotic derived from</w:t>
            </w:r>
            <w:r w:rsidRPr="00292037">
              <w:rPr>
                <w:rFonts w:ascii="Times New Roman" w:hAnsi="Times New Roman" w:cs="Times New Roman"/>
                <w:i/>
                <w:iCs/>
              </w:rPr>
              <w:t xml:space="preserve"> Black Soldier Fly</w:t>
            </w:r>
            <w:r w:rsidRPr="00292037">
              <w:rPr>
                <w:rFonts w:ascii="Times New Roman" w:hAnsi="Times New Roman" w:cs="Times New Roman"/>
              </w:rPr>
              <w:t xml:space="preserve"> larvae</w:t>
            </w:r>
          </w:p>
        </w:tc>
      </w:tr>
      <w:tr w:rsidR="003D332A" w:rsidRPr="00292037" w14:paraId="54D82E71" w14:textId="77777777" w:rsidTr="00904043">
        <w:trPr>
          <w:jc w:val="center"/>
        </w:trPr>
        <w:tc>
          <w:tcPr>
            <w:tcW w:w="5387" w:type="dxa"/>
            <w:gridSpan w:val="5"/>
            <w:tcBorders>
              <w:top w:val="single" w:sz="4" w:space="0" w:color="auto"/>
              <w:bottom w:val="single" w:sz="4" w:space="0" w:color="auto"/>
            </w:tcBorders>
          </w:tcPr>
          <w:p w14:paraId="09C5BC04" w14:textId="77777777" w:rsidR="003D332A" w:rsidRPr="00292037" w:rsidRDefault="003D332A" w:rsidP="00904043">
            <w:pPr>
              <w:jc w:val="center"/>
              <w:rPr>
                <w:rFonts w:ascii="Times New Roman" w:hAnsi="Times New Roman" w:cs="Times New Roman"/>
                <w:b/>
                <w:bCs/>
                <w:sz w:val="16"/>
                <w:szCs w:val="16"/>
              </w:rPr>
            </w:pPr>
            <w:r w:rsidRPr="00292037">
              <w:rPr>
                <w:rFonts w:ascii="Times New Roman" w:hAnsi="Times New Roman" w:cs="Times New Roman"/>
                <w:b/>
                <w:bCs/>
                <w:sz w:val="16"/>
                <w:szCs w:val="16"/>
              </w:rPr>
              <w:t xml:space="preserve">Total </w:t>
            </w:r>
            <w:r w:rsidRPr="00292037">
              <w:rPr>
                <w:rFonts w:ascii="Times New Roman" w:hAnsi="Times New Roman" w:cs="Times New Roman"/>
                <w:b/>
                <w:bCs/>
                <w:i/>
                <w:iCs/>
                <w:sz w:val="16"/>
                <w:szCs w:val="16"/>
              </w:rPr>
              <w:t>Bacillus sp.</w:t>
            </w:r>
            <w:r w:rsidRPr="00292037">
              <w:rPr>
                <w:rFonts w:ascii="Times New Roman" w:hAnsi="Times New Roman" w:cs="Times New Roman"/>
                <w:b/>
                <w:bCs/>
                <w:sz w:val="16"/>
                <w:szCs w:val="16"/>
              </w:rPr>
              <w:t xml:space="preserve"> x 10</w:t>
            </w:r>
            <w:r w:rsidRPr="00292037">
              <w:rPr>
                <w:rFonts w:ascii="Times New Roman" w:hAnsi="Times New Roman" w:cs="Times New Roman"/>
                <w:b/>
                <w:bCs/>
                <w:sz w:val="16"/>
                <w:szCs w:val="16"/>
                <w:vertAlign w:val="superscript"/>
              </w:rPr>
              <w:t xml:space="preserve">7 </w:t>
            </w:r>
            <w:r w:rsidRPr="00292037">
              <w:rPr>
                <w:rFonts w:ascii="Times New Roman" w:hAnsi="Times New Roman" w:cs="Times New Roman"/>
                <w:b/>
                <w:bCs/>
                <w:sz w:val="16"/>
                <w:szCs w:val="16"/>
              </w:rPr>
              <w:t>(CFU/ml)</w:t>
            </w:r>
          </w:p>
        </w:tc>
        <w:tc>
          <w:tcPr>
            <w:tcW w:w="5529" w:type="dxa"/>
            <w:gridSpan w:val="5"/>
            <w:tcBorders>
              <w:top w:val="single" w:sz="4" w:space="0" w:color="auto"/>
              <w:bottom w:val="single" w:sz="4" w:space="0" w:color="auto"/>
            </w:tcBorders>
          </w:tcPr>
          <w:p w14:paraId="01CA9C3B" w14:textId="77777777" w:rsidR="003D332A" w:rsidRPr="00292037" w:rsidRDefault="003D332A" w:rsidP="00904043">
            <w:pPr>
              <w:jc w:val="center"/>
              <w:rPr>
                <w:rFonts w:ascii="Times New Roman" w:hAnsi="Times New Roman" w:cs="Times New Roman"/>
                <w:b/>
                <w:bCs/>
                <w:sz w:val="16"/>
                <w:szCs w:val="16"/>
              </w:rPr>
            </w:pPr>
            <w:r w:rsidRPr="00292037">
              <w:rPr>
                <w:rFonts w:ascii="Times New Roman" w:hAnsi="Times New Roman" w:cs="Times New Roman"/>
                <w:b/>
                <w:bCs/>
                <w:sz w:val="16"/>
                <w:szCs w:val="16"/>
              </w:rPr>
              <w:t xml:space="preserve"> Total Yeast x 10</w:t>
            </w:r>
            <w:r w:rsidRPr="00292037">
              <w:rPr>
                <w:rFonts w:ascii="Times New Roman" w:hAnsi="Times New Roman" w:cs="Times New Roman"/>
                <w:b/>
                <w:bCs/>
                <w:sz w:val="16"/>
                <w:szCs w:val="16"/>
                <w:vertAlign w:val="superscript"/>
              </w:rPr>
              <w:t xml:space="preserve">7 </w:t>
            </w:r>
            <w:r w:rsidRPr="00292037">
              <w:rPr>
                <w:rFonts w:ascii="Times New Roman" w:hAnsi="Times New Roman" w:cs="Times New Roman"/>
                <w:b/>
                <w:bCs/>
                <w:sz w:val="16"/>
                <w:szCs w:val="16"/>
              </w:rPr>
              <w:t>(CFU/ml)</w:t>
            </w:r>
          </w:p>
        </w:tc>
      </w:tr>
      <w:tr w:rsidR="003D332A" w:rsidRPr="00292037" w14:paraId="684FA8B6" w14:textId="77777777" w:rsidTr="00904043">
        <w:trPr>
          <w:jc w:val="center"/>
        </w:trPr>
        <w:tc>
          <w:tcPr>
            <w:tcW w:w="865" w:type="dxa"/>
            <w:vMerge w:val="restart"/>
            <w:tcBorders>
              <w:top w:val="single" w:sz="4" w:space="0" w:color="auto"/>
              <w:bottom w:val="single" w:sz="4" w:space="0" w:color="auto"/>
            </w:tcBorders>
          </w:tcPr>
          <w:p w14:paraId="047A88F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A</w:t>
            </w:r>
          </w:p>
          <w:p w14:paraId="6BE4082C"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(Molasses Level)</w:t>
            </w:r>
          </w:p>
        </w:tc>
        <w:tc>
          <w:tcPr>
            <w:tcW w:w="3390" w:type="dxa"/>
            <w:gridSpan w:val="3"/>
            <w:tcBorders>
              <w:top w:val="single" w:sz="4" w:space="0" w:color="auto"/>
              <w:bottom w:val="single" w:sz="4" w:space="0" w:color="auto"/>
            </w:tcBorders>
          </w:tcPr>
          <w:p w14:paraId="261A678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B</w:t>
            </w:r>
          </w:p>
          <w:p w14:paraId="5E02CDC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(Incubation Time)</w:t>
            </w:r>
          </w:p>
        </w:tc>
        <w:tc>
          <w:tcPr>
            <w:tcW w:w="1132" w:type="dxa"/>
            <w:tcBorders>
              <w:top w:val="single" w:sz="4" w:space="0" w:color="auto"/>
              <w:bottom w:val="single" w:sz="4" w:space="0" w:color="auto"/>
            </w:tcBorders>
          </w:tcPr>
          <w:p w14:paraId="2C9E4C4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870" w:type="dxa"/>
            <w:tcBorders>
              <w:top w:val="single" w:sz="4" w:space="0" w:color="auto"/>
              <w:bottom w:val="single" w:sz="4" w:space="0" w:color="auto"/>
            </w:tcBorders>
          </w:tcPr>
          <w:p w14:paraId="4FE0FD9C"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A</w:t>
            </w:r>
          </w:p>
          <w:p w14:paraId="056E1DE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(Molasses Level)</w:t>
            </w:r>
          </w:p>
        </w:tc>
        <w:tc>
          <w:tcPr>
            <w:tcW w:w="3525" w:type="dxa"/>
            <w:gridSpan w:val="3"/>
            <w:tcBorders>
              <w:top w:val="single" w:sz="4" w:space="0" w:color="auto"/>
              <w:bottom w:val="single" w:sz="4" w:space="0" w:color="auto"/>
            </w:tcBorders>
          </w:tcPr>
          <w:p w14:paraId="6C7D93F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Factor B</w:t>
            </w:r>
          </w:p>
          <w:p w14:paraId="28A21FE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(Incubation Time)</w:t>
            </w:r>
          </w:p>
        </w:tc>
        <w:tc>
          <w:tcPr>
            <w:tcW w:w="1134" w:type="dxa"/>
            <w:tcBorders>
              <w:top w:val="single" w:sz="4" w:space="0" w:color="auto"/>
              <w:bottom w:val="single" w:sz="4" w:space="0" w:color="auto"/>
            </w:tcBorders>
          </w:tcPr>
          <w:p w14:paraId="6EAFC61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r>
      <w:tr w:rsidR="003D332A" w:rsidRPr="00292037" w14:paraId="50EE7B8B" w14:textId="77777777" w:rsidTr="00904043">
        <w:trPr>
          <w:jc w:val="center"/>
        </w:trPr>
        <w:tc>
          <w:tcPr>
            <w:tcW w:w="865" w:type="dxa"/>
            <w:vMerge/>
            <w:tcBorders>
              <w:top w:val="single" w:sz="4" w:space="0" w:color="auto"/>
              <w:bottom w:val="single" w:sz="4" w:space="0" w:color="auto"/>
            </w:tcBorders>
          </w:tcPr>
          <w:p w14:paraId="5308433B" w14:textId="77777777" w:rsidR="003D332A" w:rsidRPr="00292037" w:rsidRDefault="003D332A" w:rsidP="00904043">
            <w:pPr>
              <w:jc w:val="center"/>
              <w:rPr>
                <w:rFonts w:ascii="Times New Roman" w:hAnsi="Times New Roman" w:cs="Times New Roman"/>
                <w:sz w:val="16"/>
                <w:szCs w:val="16"/>
              </w:rPr>
            </w:pPr>
          </w:p>
        </w:tc>
        <w:tc>
          <w:tcPr>
            <w:tcW w:w="1120" w:type="dxa"/>
            <w:tcBorders>
              <w:top w:val="single" w:sz="4" w:space="0" w:color="auto"/>
              <w:bottom w:val="single" w:sz="4" w:space="0" w:color="auto"/>
            </w:tcBorders>
          </w:tcPr>
          <w:p w14:paraId="7F08049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B1</w:t>
            </w:r>
          </w:p>
        </w:tc>
        <w:tc>
          <w:tcPr>
            <w:tcW w:w="1134" w:type="dxa"/>
            <w:tcBorders>
              <w:top w:val="single" w:sz="4" w:space="0" w:color="auto"/>
              <w:bottom w:val="single" w:sz="4" w:space="0" w:color="auto"/>
            </w:tcBorders>
          </w:tcPr>
          <w:p w14:paraId="71A55D7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B2</w:t>
            </w:r>
          </w:p>
        </w:tc>
        <w:tc>
          <w:tcPr>
            <w:tcW w:w="1136" w:type="dxa"/>
            <w:tcBorders>
              <w:top w:val="single" w:sz="4" w:space="0" w:color="auto"/>
              <w:bottom w:val="single" w:sz="4" w:space="0" w:color="auto"/>
            </w:tcBorders>
          </w:tcPr>
          <w:p w14:paraId="6FFE754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B3</w:t>
            </w:r>
          </w:p>
        </w:tc>
        <w:tc>
          <w:tcPr>
            <w:tcW w:w="1132" w:type="dxa"/>
            <w:tcBorders>
              <w:top w:val="single" w:sz="4" w:space="0" w:color="auto"/>
              <w:bottom w:val="single" w:sz="4" w:space="0" w:color="auto"/>
            </w:tcBorders>
          </w:tcPr>
          <w:p w14:paraId="0FE59AFB" w14:textId="77777777" w:rsidR="003D332A" w:rsidRPr="00292037" w:rsidRDefault="003D332A" w:rsidP="00904043">
            <w:pPr>
              <w:jc w:val="center"/>
              <w:rPr>
                <w:rFonts w:ascii="Times New Roman" w:hAnsi="Times New Roman" w:cs="Times New Roman"/>
                <w:sz w:val="16"/>
                <w:szCs w:val="16"/>
              </w:rPr>
            </w:pPr>
          </w:p>
        </w:tc>
        <w:tc>
          <w:tcPr>
            <w:tcW w:w="870" w:type="dxa"/>
            <w:tcBorders>
              <w:top w:val="single" w:sz="4" w:space="0" w:color="auto"/>
              <w:bottom w:val="single" w:sz="4" w:space="0" w:color="auto"/>
            </w:tcBorders>
          </w:tcPr>
          <w:p w14:paraId="76774A99" w14:textId="77777777" w:rsidR="003D332A" w:rsidRPr="00292037" w:rsidRDefault="003D332A" w:rsidP="00904043">
            <w:pPr>
              <w:jc w:val="center"/>
              <w:rPr>
                <w:rFonts w:ascii="Times New Roman" w:hAnsi="Times New Roman" w:cs="Times New Roman"/>
                <w:sz w:val="16"/>
                <w:szCs w:val="16"/>
              </w:rPr>
            </w:pPr>
          </w:p>
        </w:tc>
        <w:tc>
          <w:tcPr>
            <w:tcW w:w="1257" w:type="dxa"/>
            <w:tcBorders>
              <w:top w:val="single" w:sz="4" w:space="0" w:color="auto"/>
              <w:bottom w:val="single" w:sz="4" w:space="0" w:color="auto"/>
            </w:tcBorders>
          </w:tcPr>
          <w:p w14:paraId="5975D15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B1</w:t>
            </w:r>
          </w:p>
        </w:tc>
        <w:tc>
          <w:tcPr>
            <w:tcW w:w="1134" w:type="dxa"/>
            <w:tcBorders>
              <w:top w:val="single" w:sz="4" w:space="0" w:color="auto"/>
              <w:bottom w:val="single" w:sz="4" w:space="0" w:color="auto"/>
            </w:tcBorders>
          </w:tcPr>
          <w:p w14:paraId="17ED80FA"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B2</w:t>
            </w:r>
          </w:p>
        </w:tc>
        <w:tc>
          <w:tcPr>
            <w:tcW w:w="1134" w:type="dxa"/>
            <w:tcBorders>
              <w:top w:val="single" w:sz="4" w:space="0" w:color="auto"/>
              <w:bottom w:val="single" w:sz="4" w:space="0" w:color="auto"/>
            </w:tcBorders>
          </w:tcPr>
          <w:p w14:paraId="0D79C666"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B3</w:t>
            </w:r>
          </w:p>
        </w:tc>
        <w:tc>
          <w:tcPr>
            <w:tcW w:w="1134" w:type="dxa"/>
            <w:tcBorders>
              <w:top w:val="single" w:sz="4" w:space="0" w:color="auto"/>
              <w:bottom w:val="single" w:sz="4" w:space="0" w:color="auto"/>
            </w:tcBorders>
          </w:tcPr>
          <w:p w14:paraId="13BCE6C9" w14:textId="77777777" w:rsidR="003D332A" w:rsidRPr="00292037" w:rsidRDefault="003D332A" w:rsidP="00904043">
            <w:pPr>
              <w:jc w:val="center"/>
              <w:rPr>
                <w:rFonts w:ascii="Times New Roman" w:hAnsi="Times New Roman" w:cs="Times New Roman"/>
                <w:sz w:val="16"/>
                <w:szCs w:val="16"/>
              </w:rPr>
            </w:pPr>
          </w:p>
        </w:tc>
      </w:tr>
      <w:tr w:rsidR="003D332A" w:rsidRPr="00292037" w14:paraId="23D02E3E" w14:textId="77777777" w:rsidTr="00904043">
        <w:trPr>
          <w:jc w:val="center"/>
        </w:trPr>
        <w:tc>
          <w:tcPr>
            <w:tcW w:w="865" w:type="dxa"/>
            <w:tcBorders>
              <w:top w:val="single" w:sz="4" w:space="0" w:color="auto"/>
            </w:tcBorders>
          </w:tcPr>
          <w:p w14:paraId="68066B1F"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A1</w:t>
            </w:r>
          </w:p>
        </w:tc>
        <w:tc>
          <w:tcPr>
            <w:tcW w:w="1120" w:type="dxa"/>
            <w:tcBorders>
              <w:top w:val="single" w:sz="4" w:space="0" w:color="auto"/>
            </w:tcBorders>
          </w:tcPr>
          <w:p w14:paraId="5948661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0.40 ± 0.10</w:t>
            </w:r>
            <w:r w:rsidRPr="00292037">
              <w:rPr>
                <w:rFonts w:ascii="Times New Roman" w:hAnsi="Times New Roman" w:cs="Times New Roman"/>
                <w:sz w:val="16"/>
                <w:szCs w:val="16"/>
                <w:vertAlign w:val="superscript"/>
              </w:rPr>
              <w:t>cd</w:t>
            </w:r>
          </w:p>
        </w:tc>
        <w:tc>
          <w:tcPr>
            <w:tcW w:w="1134" w:type="dxa"/>
            <w:tcBorders>
              <w:top w:val="single" w:sz="4" w:space="0" w:color="auto"/>
            </w:tcBorders>
          </w:tcPr>
          <w:p w14:paraId="49826F4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0.33 ± 0.15</w:t>
            </w:r>
            <w:r w:rsidRPr="00292037">
              <w:rPr>
                <w:rFonts w:ascii="Times New Roman" w:hAnsi="Times New Roman" w:cs="Times New Roman"/>
                <w:sz w:val="16"/>
                <w:szCs w:val="16"/>
                <w:vertAlign w:val="superscript"/>
              </w:rPr>
              <w:t>cd</w:t>
            </w:r>
          </w:p>
        </w:tc>
        <w:tc>
          <w:tcPr>
            <w:tcW w:w="1136" w:type="dxa"/>
            <w:tcBorders>
              <w:top w:val="single" w:sz="4" w:space="0" w:color="auto"/>
            </w:tcBorders>
          </w:tcPr>
          <w:p w14:paraId="2BF3E39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0.17 ± 0.06</w:t>
            </w:r>
            <w:r w:rsidRPr="00292037">
              <w:rPr>
                <w:rFonts w:ascii="Times New Roman" w:hAnsi="Times New Roman" w:cs="Times New Roman"/>
                <w:sz w:val="16"/>
                <w:szCs w:val="16"/>
                <w:vertAlign w:val="superscript"/>
              </w:rPr>
              <w:t>d</w:t>
            </w:r>
          </w:p>
        </w:tc>
        <w:tc>
          <w:tcPr>
            <w:tcW w:w="1132" w:type="dxa"/>
            <w:tcBorders>
              <w:top w:val="single" w:sz="4" w:space="0" w:color="auto"/>
            </w:tcBorders>
          </w:tcPr>
          <w:p w14:paraId="466EE7C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0.30 ± 0.14</w:t>
            </w:r>
          </w:p>
        </w:tc>
        <w:tc>
          <w:tcPr>
            <w:tcW w:w="870" w:type="dxa"/>
            <w:tcBorders>
              <w:top w:val="single" w:sz="4" w:space="0" w:color="auto"/>
            </w:tcBorders>
          </w:tcPr>
          <w:p w14:paraId="27BF9C6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A1</w:t>
            </w:r>
          </w:p>
        </w:tc>
        <w:tc>
          <w:tcPr>
            <w:tcW w:w="1257" w:type="dxa"/>
            <w:tcBorders>
              <w:top w:val="single" w:sz="4" w:space="0" w:color="auto"/>
            </w:tcBorders>
          </w:tcPr>
          <w:p w14:paraId="7CE0221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0.17 ± 0.06</w:t>
            </w:r>
            <w:r w:rsidRPr="00292037">
              <w:rPr>
                <w:rFonts w:ascii="Times New Roman" w:hAnsi="Times New Roman" w:cs="Times New Roman"/>
                <w:sz w:val="16"/>
                <w:szCs w:val="16"/>
                <w:vertAlign w:val="superscript"/>
              </w:rPr>
              <w:t>c</w:t>
            </w:r>
          </w:p>
        </w:tc>
        <w:tc>
          <w:tcPr>
            <w:tcW w:w="1134" w:type="dxa"/>
            <w:tcBorders>
              <w:top w:val="single" w:sz="4" w:space="0" w:color="auto"/>
            </w:tcBorders>
          </w:tcPr>
          <w:p w14:paraId="3D87A95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0.30 ± 0.20</w:t>
            </w:r>
            <w:r w:rsidRPr="00292037">
              <w:rPr>
                <w:rFonts w:ascii="Times New Roman" w:hAnsi="Times New Roman" w:cs="Times New Roman"/>
                <w:sz w:val="16"/>
                <w:szCs w:val="16"/>
                <w:vertAlign w:val="superscript"/>
              </w:rPr>
              <w:t>c</w:t>
            </w:r>
          </w:p>
        </w:tc>
        <w:tc>
          <w:tcPr>
            <w:tcW w:w="1134" w:type="dxa"/>
            <w:tcBorders>
              <w:top w:val="single" w:sz="4" w:space="0" w:color="auto"/>
            </w:tcBorders>
          </w:tcPr>
          <w:p w14:paraId="1877325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0.20 ± 0.10</w:t>
            </w:r>
            <w:r w:rsidRPr="00292037">
              <w:rPr>
                <w:rFonts w:ascii="Times New Roman" w:hAnsi="Times New Roman" w:cs="Times New Roman"/>
                <w:sz w:val="16"/>
                <w:szCs w:val="16"/>
                <w:vertAlign w:val="superscript"/>
              </w:rPr>
              <w:t>c</w:t>
            </w:r>
          </w:p>
        </w:tc>
        <w:tc>
          <w:tcPr>
            <w:tcW w:w="1134" w:type="dxa"/>
            <w:tcBorders>
              <w:top w:val="single" w:sz="4" w:space="0" w:color="auto"/>
            </w:tcBorders>
          </w:tcPr>
          <w:p w14:paraId="2FD1EF2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0.22 ± 0.13</w:t>
            </w:r>
          </w:p>
        </w:tc>
      </w:tr>
      <w:tr w:rsidR="003D332A" w:rsidRPr="00292037" w14:paraId="41982722" w14:textId="77777777" w:rsidTr="00904043">
        <w:trPr>
          <w:jc w:val="center"/>
        </w:trPr>
        <w:tc>
          <w:tcPr>
            <w:tcW w:w="865" w:type="dxa"/>
          </w:tcPr>
          <w:p w14:paraId="048AC52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A2</w:t>
            </w:r>
          </w:p>
        </w:tc>
        <w:tc>
          <w:tcPr>
            <w:tcW w:w="1120" w:type="dxa"/>
          </w:tcPr>
          <w:p w14:paraId="5ABA780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1.90 ± 0.60</w:t>
            </w:r>
            <w:r w:rsidRPr="00292037">
              <w:rPr>
                <w:rFonts w:ascii="Times New Roman" w:hAnsi="Times New Roman" w:cs="Times New Roman"/>
                <w:sz w:val="16"/>
                <w:szCs w:val="16"/>
                <w:vertAlign w:val="superscript"/>
              </w:rPr>
              <w:t>ab</w:t>
            </w:r>
          </w:p>
        </w:tc>
        <w:tc>
          <w:tcPr>
            <w:tcW w:w="1134" w:type="dxa"/>
          </w:tcPr>
          <w:p w14:paraId="3E9C99D6"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2.83 ± 0.47</w:t>
            </w:r>
            <w:r w:rsidRPr="00292037">
              <w:rPr>
                <w:rFonts w:ascii="Times New Roman" w:hAnsi="Times New Roman" w:cs="Times New Roman"/>
                <w:sz w:val="16"/>
                <w:szCs w:val="16"/>
                <w:vertAlign w:val="superscript"/>
              </w:rPr>
              <w:t>a</w:t>
            </w:r>
          </w:p>
        </w:tc>
        <w:tc>
          <w:tcPr>
            <w:tcW w:w="1136" w:type="dxa"/>
          </w:tcPr>
          <w:p w14:paraId="18C67E09"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1.23 ± 0.45</w:t>
            </w:r>
            <w:r w:rsidRPr="00292037">
              <w:rPr>
                <w:rFonts w:ascii="Times New Roman" w:hAnsi="Times New Roman" w:cs="Times New Roman"/>
                <w:sz w:val="16"/>
                <w:szCs w:val="16"/>
                <w:vertAlign w:val="superscript"/>
              </w:rPr>
              <w:t>bc</w:t>
            </w:r>
          </w:p>
        </w:tc>
        <w:tc>
          <w:tcPr>
            <w:tcW w:w="1132" w:type="dxa"/>
          </w:tcPr>
          <w:p w14:paraId="11DDEA33" w14:textId="7F466161" w:rsidR="003D332A" w:rsidRPr="00292037" w:rsidRDefault="009F7B81" w:rsidP="00904043">
            <w:pPr>
              <w:jc w:val="center"/>
              <w:rPr>
                <w:rFonts w:ascii="Times New Roman" w:hAnsi="Times New Roman" w:cs="Times New Roman"/>
                <w:sz w:val="16"/>
                <w:szCs w:val="16"/>
              </w:rPr>
            </w:pPr>
            <w:r w:rsidRPr="00292037">
              <w:rPr>
                <w:rFonts w:ascii="Times New Roman" w:hAnsi="Times New Roman" w:cs="Times New Roman"/>
                <w:sz w:val="16"/>
                <w:szCs w:val="16"/>
              </w:rPr>
              <w:t>1.99</w:t>
            </w:r>
            <w:r w:rsidR="003D332A" w:rsidRPr="00292037">
              <w:rPr>
                <w:rFonts w:ascii="Times New Roman" w:hAnsi="Times New Roman" w:cs="Times New Roman"/>
                <w:sz w:val="16"/>
                <w:szCs w:val="16"/>
              </w:rPr>
              <w:t xml:space="preserve"> ± 0.83</w:t>
            </w:r>
          </w:p>
        </w:tc>
        <w:tc>
          <w:tcPr>
            <w:tcW w:w="870" w:type="dxa"/>
          </w:tcPr>
          <w:p w14:paraId="096E729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A2</w:t>
            </w:r>
          </w:p>
        </w:tc>
        <w:tc>
          <w:tcPr>
            <w:tcW w:w="1257" w:type="dxa"/>
          </w:tcPr>
          <w:p w14:paraId="6D2E7F9D"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1.43 ± 1.06</w:t>
            </w:r>
            <w:r w:rsidRPr="00292037">
              <w:rPr>
                <w:rFonts w:ascii="Times New Roman" w:hAnsi="Times New Roman" w:cs="Times New Roman"/>
                <w:sz w:val="16"/>
                <w:szCs w:val="16"/>
                <w:vertAlign w:val="superscript"/>
              </w:rPr>
              <w:t>b</w:t>
            </w:r>
          </w:p>
        </w:tc>
        <w:tc>
          <w:tcPr>
            <w:tcW w:w="1134" w:type="dxa"/>
          </w:tcPr>
          <w:p w14:paraId="2BE2A0CC"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3.83 ± 0.58</w:t>
            </w:r>
            <w:r w:rsidRPr="00292037">
              <w:rPr>
                <w:rFonts w:ascii="Times New Roman" w:hAnsi="Times New Roman" w:cs="Times New Roman"/>
                <w:sz w:val="16"/>
                <w:szCs w:val="16"/>
                <w:vertAlign w:val="superscript"/>
              </w:rPr>
              <w:t>a</w:t>
            </w:r>
          </w:p>
        </w:tc>
        <w:tc>
          <w:tcPr>
            <w:tcW w:w="1134" w:type="dxa"/>
          </w:tcPr>
          <w:p w14:paraId="303F883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1.47 ± 0.25</w:t>
            </w:r>
            <w:r w:rsidRPr="00292037">
              <w:rPr>
                <w:rFonts w:ascii="Times New Roman" w:hAnsi="Times New Roman" w:cs="Times New Roman"/>
                <w:sz w:val="16"/>
                <w:szCs w:val="16"/>
                <w:vertAlign w:val="superscript"/>
              </w:rPr>
              <w:t>b</w:t>
            </w:r>
          </w:p>
        </w:tc>
        <w:tc>
          <w:tcPr>
            <w:tcW w:w="1134" w:type="dxa"/>
          </w:tcPr>
          <w:p w14:paraId="1059016B"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2.24 ± 1.34</w:t>
            </w:r>
          </w:p>
        </w:tc>
      </w:tr>
      <w:tr w:rsidR="003D332A" w:rsidRPr="00292037" w14:paraId="17E4FA98" w14:textId="77777777" w:rsidTr="00904043">
        <w:trPr>
          <w:jc w:val="center"/>
        </w:trPr>
        <w:tc>
          <w:tcPr>
            <w:tcW w:w="865" w:type="dxa"/>
            <w:tcBorders>
              <w:bottom w:val="single" w:sz="4" w:space="0" w:color="auto"/>
            </w:tcBorders>
          </w:tcPr>
          <w:p w14:paraId="05222536"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A3</w:t>
            </w:r>
          </w:p>
        </w:tc>
        <w:tc>
          <w:tcPr>
            <w:tcW w:w="1120" w:type="dxa"/>
            <w:tcBorders>
              <w:bottom w:val="single" w:sz="4" w:space="0" w:color="auto"/>
            </w:tcBorders>
          </w:tcPr>
          <w:p w14:paraId="09FA44A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0.57 ± 0.35</w:t>
            </w:r>
            <w:r w:rsidRPr="00292037">
              <w:rPr>
                <w:rFonts w:ascii="Times New Roman" w:hAnsi="Times New Roman" w:cs="Times New Roman"/>
                <w:sz w:val="16"/>
                <w:szCs w:val="16"/>
                <w:vertAlign w:val="superscript"/>
              </w:rPr>
              <w:t>cd</w:t>
            </w:r>
          </w:p>
        </w:tc>
        <w:tc>
          <w:tcPr>
            <w:tcW w:w="1134" w:type="dxa"/>
            <w:tcBorders>
              <w:bottom w:val="single" w:sz="4" w:space="0" w:color="auto"/>
            </w:tcBorders>
          </w:tcPr>
          <w:p w14:paraId="6127E7A5"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2.73 ± 1.10</w:t>
            </w:r>
            <w:r w:rsidRPr="00292037">
              <w:rPr>
                <w:rFonts w:ascii="Times New Roman" w:hAnsi="Times New Roman" w:cs="Times New Roman"/>
                <w:sz w:val="16"/>
                <w:szCs w:val="16"/>
                <w:vertAlign w:val="superscript"/>
              </w:rPr>
              <w:t>a</w:t>
            </w:r>
          </w:p>
        </w:tc>
        <w:tc>
          <w:tcPr>
            <w:tcW w:w="1136" w:type="dxa"/>
            <w:tcBorders>
              <w:bottom w:val="single" w:sz="4" w:space="0" w:color="auto"/>
            </w:tcBorders>
          </w:tcPr>
          <w:p w14:paraId="52EE9B4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1.73 ± 0.51</w:t>
            </w:r>
            <w:r w:rsidRPr="00292037">
              <w:rPr>
                <w:rFonts w:ascii="Times New Roman" w:hAnsi="Times New Roman" w:cs="Times New Roman"/>
                <w:sz w:val="16"/>
                <w:szCs w:val="16"/>
                <w:vertAlign w:val="superscript"/>
              </w:rPr>
              <w:t>b</w:t>
            </w:r>
          </w:p>
        </w:tc>
        <w:tc>
          <w:tcPr>
            <w:tcW w:w="1132" w:type="dxa"/>
          </w:tcPr>
          <w:p w14:paraId="26C6DF30" w14:textId="4A12CB3C" w:rsidR="003D332A" w:rsidRPr="00292037" w:rsidRDefault="009F7B81" w:rsidP="00904043">
            <w:pPr>
              <w:jc w:val="center"/>
              <w:rPr>
                <w:rFonts w:ascii="Times New Roman" w:hAnsi="Times New Roman" w:cs="Times New Roman"/>
                <w:sz w:val="16"/>
                <w:szCs w:val="16"/>
              </w:rPr>
            </w:pPr>
            <w:r w:rsidRPr="00292037">
              <w:rPr>
                <w:rFonts w:ascii="Times New Roman" w:hAnsi="Times New Roman" w:cs="Times New Roman"/>
                <w:sz w:val="16"/>
                <w:szCs w:val="16"/>
              </w:rPr>
              <w:t>1.68</w:t>
            </w:r>
            <w:r w:rsidR="003D332A" w:rsidRPr="00292037">
              <w:rPr>
                <w:rFonts w:ascii="Times New Roman" w:hAnsi="Times New Roman" w:cs="Times New Roman"/>
                <w:sz w:val="16"/>
                <w:szCs w:val="16"/>
              </w:rPr>
              <w:t xml:space="preserve"> ± 1.13</w:t>
            </w:r>
          </w:p>
        </w:tc>
        <w:tc>
          <w:tcPr>
            <w:tcW w:w="870" w:type="dxa"/>
            <w:tcBorders>
              <w:bottom w:val="single" w:sz="4" w:space="0" w:color="auto"/>
            </w:tcBorders>
          </w:tcPr>
          <w:p w14:paraId="366CEE5C"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A3</w:t>
            </w:r>
          </w:p>
        </w:tc>
        <w:tc>
          <w:tcPr>
            <w:tcW w:w="1257" w:type="dxa"/>
            <w:tcBorders>
              <w:bottom w:val="single" w:sz="4" w:space="0" w:color="auto"/>
            </w:tcBorders>
          </w:tcPr>
          <w:p w14:paraId="0C010290"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1.30 ± 0.53</w:t>
            </w:r>
            <w:r w:rsidRPr="00292037">
              <w:rPr>
                <w:rFonts w:ascii="Times New Roman" w:hAnsi="Times New Roman" w:cs="Times New Roman"/>
                <w:sz w:val="16"/>
                <w:szCs w:val="16"/>
                <w:vertAlign w:val="superscript"/>
              </w:rPr>
              <w:t>b</w:t>
            </w:r>
          </w:p>
        </w:tc>
        <w:tc>
          <w:tcPr>
            <w:tcW w:w="1134" w:type="dxa"/>
            <w:tcBorders>
              <w:bottom w:val="single" w:sz="4" w:space="0" w:color="auto"/>
            </w:tcBorders>
          </w:tcPr>
          <w:p w14:paraId="1DCBF83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3.30 ± 0.72</w:t>
            </w:r>
            <w:r w:rsidRPr="00292037">
              <w:rPr>
                <w:rFonts w:ascii="Times New Roman" w:hAnsi="Times New Roman" w:cs="Times New Roman"/>
                <w:sz w:val="16"/>
                <w:szCs w:val="16"/>
                <w:vertAlign w:val="superscript"/>
              </w:rPr>
              <w:t>a</w:t>
            </w:r>
          </w:p>
        </w:tc>
        <w:tc>
          <w:tcPr>
            <w:tcW w:w="1134" w:type="dxa"/>
            <w:tcBorders>
              <w:bottom w:val="single" w:sz="4" w:space="0" w:color="auto"/>
            </w:tcBorders>
          </w:tcPr>
          <w:p w14:paraId="34FD849C"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1.00 ± 0.17</w:t>
            </w:r>
            <w:r w:rsidRPr="00292037">
              <w:rPr>
                <w:rFonts w:ascii="Times New Roman" w:hAnsi="Times New Roman" w:cs="Times New Roman"/>
                <w:sz w:val="16"/>
                <w:szCs w:val="16"/>
                <w:vertAlign w:val="superscript"/>
              </w:rPr>
              <w:t>bc</w:t>
            </w:r>
          </w:p>
        </w:tc>
        <w:tc>
          <w:tcPr>
            <w:tcW w:w="1134" w:type="dxa"/>
          </w:tcPr>
          <w:p w14:paraId="7CD52478"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1.87 ± 1.17</w:t>
            </w:r>
          </w:p>
        </w:tc>
      </w:tr>
      <w:tr w:rsidR="003D332A" w:rsidRPr="00292037" w14:paraId="06141DF5" w14:textId="77777777" w:rsidTr="00904043">
        <w:trPr>
          <w:jc w:val="center"/>
        </w:trPr>
        <w:tc>
          <w:tcPr>
            <w:tcW w:w="865" w:type="dxa"/>
            <w:tcBorders>
              <w:top w:val="single" w:sz="4" w:space="0" w:color="auto"/>
              <w:bottom w:val="single" w:sz="4" w:space="0" w:color="auto"/>
            </w:tcBorders>
          </w:tcPr>
          <w:p w14:paraId="466E5B6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1120" w:type="dxa"/>
            <w:tcBorders>
              <w:top w:val="single" w:sz="4" w:space="0" w:color="auto"/>
              <w:bottom w:val="single" w:sz="4" w:space="0" w:color="auto"/>
            </w:tcBorders>
          </w:tcPr>
          <w:p w14:paraId="12B480FE"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0.96 ± 0.79</w:t>
            </w:r>
          </w:p>
        </w:tc>
        <w:tc>
          <w:tcPr>
            <w:tcW w:w="1134" w:type="dxa"/>
            <w:tcBorders>
              <w:top w:val="single" w:sz="4" w:space="0" w:color="auto"/>
              <w:bottom w:val="single" w:sz="4" w:space="0" w:color="auto"/>
            </w:tcBorders>
          </w:tcPr>
          <w:p w14:paraId="31C54134"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1.97 ± 1.37</w:t>
            </w:r>
          </w:p>
        </w:tc>
        <w:tc>
          <w:tcPr>
            <w:tcW w:w="1136" w:type="dxa"/>
            <w:tcBorders>
              <w:top w:val="single" w:sz="4" w:space="0" w:color="auto"/>
              <w:bottom w:val="single" w:sz="4" w:space="0" w:color="auto"/>
            </w:tcBorders>
          </w:tcPr>
          <w:p w14:paraId="776332D1"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1.04 ± 0.77</w:t>
            </w:r>
          </w:p>
        </w:tc>
        <w:tc>
          <w:tcPr>
            <w:tcW w:w="1132" w:type="dxa"/>
          </w:tcPr>
          <w:p w14:paraId="33A16E58" w14:textId="77777777" w:rsidR="003D332A" w:rsidRPr="00292037" w:rsidRDefault="003D332A" w:rsidP="00904043">
            <w:pPr>
              <w:jc w:val="center"/>
              <w:rPr>
                <w:rFonts w:ascii="Times New Roman" w:hAnsi="Times New Roman" w:cs="Times New Roman"/>
                <w:sz w:val="16"/>
                <w:szCs w:val="16"/>
              </w:rPr>
            </w:pPr>
          </w:p>
        </w:tc>
        <w:tc>
          <w:tcPr>
            <w:tcW w:w="870" w:type="dxa"/>
            <w:tcBorders>
              <w:top w:val="single" w:sz="4" w:space="0" w:color="auto"/>
              <w:bottom w:val="single" w:sz="4" w:space="0" w:color="auto"/>
            </w:tcBorders>
          </w:tcPr>
          <w:p w14:paraId="5312E788"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Mean</w:t>
            </w:r>
          </w:p>
        </w:tc>
        <w:tc>
          <w:tcPr>
            <w:tcW w:w="1257" w:type="dxa"/>
            <w:tcBorders>
              <w:top w:val="single" w:sz="4" w:space="0" w:color="auto"/>
              <w:bottom w:val="single" w:sz="4" w:space="0" w:color="auto"/>
            </w:tcBorders>
          </w:tcPr>
          <w:p w14:paraId="174923C7"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0.97 ± 0.85</w:t>
            </w:r>
          </w:p>
        </w:tc>
        <w:tc>
          <w:tcPr>
            <w:tcW w:w="1134" w:type="dxa"/>
            <w:tcBorders>
              <w:top w:val="single" w:sz="4" w:space="0" w:color="auto"/>
              <w:bottom w:val="single" w:sz="4" w:space="0" w:color="auto"/>
            </w:tcBorders>
          </w:tcPr>
          <w:p w14:paraId="6BEE34D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2.48 ± 1.72</w:t>
            </w:r>
          </w:p>
        </w:tc>
        <w:tc>
          <w:tcPr>
            <w:tcW w:w="1134" w:type="dxa"/>
            <w:tcBorders>
              <w:top w:val="single" w:sz="4" w:space="0" w:color="auto"/>
              <w:bottom w:val="single" w:sz="4" w:space="0" w:color="auto"/>
            </w:tcBorders>
          </w:tcPr>
          <w:p w14:paraId="2C6D70F3" w14:textId="77777777" w:rsidR="003D332A" w:rsidRPr="00292037" w:rsidRDefault="003D332A" w:rsidP="00904043">
            <w:pPr>
              <w:jc w:val="center"/>
              <w:rPr>
                <w:rFonts w:ascii="Times New Roman" w:hAnsi="Times New Roman" w:cs="Times New Roman"/>
                <w:sz w:val="16"/>
                <w:szCs w:val="16"/>
              </w:rPr>
            </w:pPr>
            <w:r w:rsidRPr="00292037">
              <w:rPr>
                <w:rFonts w:ascii="Times New Roman" w:hAnsi="Times New Roman" w:cs="Times New Roman"/>
                <w:sz w:val="16"/>
                <w:szCs w:val="16"/>
              </w:rPr>
              <w:t>0.89 ± 0.58</w:t>
            </w:r>
          </w:p>
        </w:tc>
        <w:tc>
          <w:tcPr>
            <w:tcW w:w="1134" w:type="dxa"/>
          </w:tcPr>
          <w:p w14:paraId="7D92DC23" w14:textId="77777777" w:rsidR="003D332A" w:rsidRPr="00292037" w:rsidRDefault="003D332A" w:rsidP="00904043">
            <w:pPr>
              <w:jc w:val="center"/>
              <w:rPr>
                <w:rFonts w:ascii="Times New Roman" w:hAnsi="Times New Roman" w:cs="Times New Roman"/>
                <w:sz w:val="16"/>
                <w:szCs w:val="16"/>
              </w:rPr>
            </w:pPr>
          </w:p>
        </w:tc>
      </w:tr>
    </w:tbl>
    <w:p w14:paraId="4CCE0191" w14:textId="30002179" w:rsidR="003D332A" w:rsidRPr="00292037" w:rsidRDefault="003D332A" w:rsidP="003D332A">
      <w:pPr>
        <w:jc w:val="both"/>
        <w:rPr>
          <w:rFonts w:ascii="Times New Roman" w:hAnsi="Times New Roman" w:cs="Times New Roman"/>
          <w:sz w:val="16"/>
          <w:szCs w:val="16"/>
        </w:rPr>
      </w:pPr>
      <w:r w:rsidRPr="00292037">
        <w:rPr>
          <w:rFonts w:ascii="Times New Roman" w:hAnsi="Times New Roman" w:cs="Times New Roman"/>
          <w:sz w:val="16"/>
          <w:szCs w:val="16"/>
        </w:rPr>
        <w:t>Note: A1= 0% molasses, A2= 50% molasses, A3= 100% molasses; B1= 5 days of incubation, B2= 10 days of incubation, B3= 15 days of incubation; values are presented as mean ± standard deviation (n=3). Means with different superscript letters within the same row or column differ significantly (P</w:t>
      </w:r>
      <w:r w:rsidR="00C8085C" w:rsidRPr="00292037">
        <w:rPr>
          <w:rFonts w:ascii="Times New Roman" w:hAnsi="Times New Roman" w:cs="Times New Roman"/>
          <w:sz w:val="16"/>
          <w:szCs w:val="16"/>
        </w:rPr>
        <w:t>&lt;</w:t>
      </w:r>
      <w:r w:rsidRPr="00292037">
        <w:rPr>
          <w:rFonts w:ascii="Times New Roman" w:hAnsi="Times New Roman" w:cs="Times New Roman"/>
          <w:sz w:val="16"/>
          <w:szCs w:val="16"/>
        </w:rPr>
        <w:t>0.05). A significant interaction (P</w:t>
      </w:r>
      <w:r w:rsidR="00C8085C" w:rsidRPr="00292037">
        <w:rPr>
          <w:rFonts w:ascii="Times New Roman" w:hAnsi="Times New Roman" w:cs="Times New Roman"/>
          <w:sz w:val="16"/>
          <w:szCs w:val="16"/>
        </w:rPr>
        <w:t>&lt;</w:t>
      </w:r>
      <w:r w:rsidRPr="00292037">
        <w:rPr>
          <w:rFonts w:ascii="Times New Roman" w:hAnsi="Times New Roman" w:cs="Times New Roman"/>
          <w:sz w:val="16"/>
          <w:szCs w:val="16"/>
        </w:rPr>
        <w:t xml:space="preserve">0.05) between molasses level (A) and incubation time (B) was observed. Mean values of A and B (± SD) are shown for descriptive purposes only. </w:t>
      </w:r>
    </w:p>
    <w:p w14:paraId="0BF7E460" w14:textId="77777777" w:rsidR="003D332A" w:rsidRPr="00292037" w:rsidRDefault="003D332A" w:rsidP="003D332A">
      <w:pPr>
        <w:jc w:val="both"/>
        <w:rPr>
          <w:rFonts w:ascii="Times New Roman" w:hAnsi="Times New Roman" w:cs="Times New Roman"/>
          <w:sz w:val="16"/>
          <w:szCs w:val="16"/>
        </w:rPr>
      </w:pPr>
    </w:p>
    <w:p w14:paraId="3E7E0B82" w14:textId="77777777" w:rsidR="003D332A" w:rsidRPr="00292037" w:rsidRDefault="003D332A" w:rsidP="003D332A">
      <w:pPr>
        <w:jc w:val="both"/>
        <w:rPr>
          <w:rFonts w:ascii="Times New Roman" w:hAnsi="Times New Roman" w:cs="Times New Roman"/>
          <w:sz w:val="16"/>
          <w:szCs w:val="16"/>
          <w:lang w:val="id-ID"/>
        </w:rPr>
      </w:pPr>
    </w:p>
    <w:p w14:paraId="788E406A" w14:textId="77777777" w:rsidR="003D332A" w:rsidRPr="00292037" w:rsidRDefault="003D332A" w:rsidP="00EB474A">
      <w:pPr>
        <w:pStyle w:val="NormalWeb"/>
        <w:spacing w:before="0" w:beforeAutospacing="0" w:after="0" w:afterAutospacing="0" w:line="360" w:lineRule="auto"/>
        <w:jc w:val="both"/>
        <w:rPr>
          <w:b/>
          <w:bCs/>
          <w:lang w:val="en-US" w:eastAsia="en-ID"/>
        </w:rPr>
      </w:pPr>
    </w:p>
    <w:p w14:paraId="5BBEABC2" w14:textId="77777777" w:rsidR="00041069" w:rsidRPr="00292037" w:rsidRDefault="00041069" w:rsidP="00EB474A">
      <w:pPr>
        <w:pStyle w:val="NormalWeb"/>
        <w:spacing w:before="0" w:beforeAutospacing="0" w:after="0" w:afterAutospacing="0" w:line="360" w:lineRule="auto"/>
        <w:jc w:val="both"/>
        <w:rPr>
          <w:b/>
          <w:bCs/>
          <w:lang w:val="en-US" w:eastAsia="en-ID"/>
        </w:rPr>
      </w:pPr>
    </w:p>
    <w:p w14:paraId="6A903256" w14:textId="77777777" w:rsidR="00EB474A" w:rsidRPr="00292037" w:rsidRDefault="00EB474A" w:rsidP="00EB474A">
      <w:pPr>
        <w:pStyle w:val="NormalWeb"/>
        <w:spacing w:before="0" w:beforeAutospacing="0" w:after="0" w:afterAutospacing="0" w:line="360" w:lineRule="auto"/>
        <w:jc w:val="both"/>
        <w:rPr>
          <w:b/>
          <w:bCs/>
          <w:lang w:val="en-US" w:eastAsia="en-ID"/>
        </w:rPr>
      </w:pPr>
    </w:p>
    <w:p w14:paraId="51E67304" w14:textId="10D749E1" w:rsidR="00EB474A" w:rsidRPr="00292037" w:rsidRDefault="00EB474A" w:rsidP="00EB474A">
      <w:pPr>
        <w:pStyle w:val="NormalWeb"/>
        <w:spacing w:before="0" w:beforeAutospacing="0" w:after="0" w:afterAutospacing="0" w:line="360" w:lineRule="auto"/>
        <w:jc w:val="both"/>
        <w:rPr>
          <w:b/>
          <w:bCs/>
          <w:lang w:val="en-US"/>
        </w:rPr>
      </w:pPr>
      <w:r w:rsidRPr="00292037">
        <w:rPr>
          <w:lang w:val="en-US" w:eastAsia="en-ID"/>
        </w:rPr>
        <w:tab/>
      </w:r>
    </w:p>
    <w:p w14:paraId="2188F79B" w14:textId="77777777" w:rsidR="00DE63F8" w:rsidRPr="00292037" w:rsidRDefault="00DE63F8" w:rsidP="00DE63F8">
      <w:pPr>
        <w:pStyle w:val="NormalWeb"/>
        <w:spacing w:before="0" w:beforeAutospacing="0" w:after="0" w:afterAutospacing="0" w:line="360" w:lineRule="auto"/>
        <w:jc w:val="both"/>
        <w:rPr>
          <w:lang w:eastAsia="en-ID"/>
        </w:rPr>
      </w:pPr>
    </w:p>
    <w:p w14:paraId="31695F95" w14:textId="77777777" w:rsidR="00DE63F8" w:rsidRPr="00292037" w:rsidRDefault="00DE63F8" w:rsidP="00DE63F8">
      <w:pPr>
        <w:pStyle w:val="NormalWeb"/>
        <w:spacing w:before="0" w:beforeAutospacing="0" w:after="0" w:afterAutospacing="0" w:line="360" w:lineRule="auto"/>
        <w:ind w:firstLine="720"/>
        <w:jc w:val="both"/>
        <w:rPr>
          <w:b/>
          <w:bCs/>
          <w:lang w:val="en-US" w:eastAsia="en-ID"/>
        </w:rPr>
      </w:pPr>
    </w:p>
    <w:p w14:paraId="14E44BBF" w14:textId="77777777" w:rsidR="00ED67CF" w:rsidRPr="00292037" w:rsidRDefault="00ED67CF" w:rsidP="00ED67CF">
      <w:pPr>
        <w:pStyle w:val="NormalWeb"/>
        <w:spacing w:before="0" w:beforeAutospacing="0" w:after="0" w:afterAutospacing="0" w:line="360" w:lineRule="auto"/>
        <w:jc w:val="both"/>
        <w:rPr>
          <w:b/>
          <w:bCs/>
          <w:lang w:val="en-US" w:eastAsia="en-ID"/>
        </w:rPr>
      </w:pPr>
    </w:p>
    <w:p w14:paraId="02DE4E94" w14:textId="77777777" w:rsidR="00ED67CF" w:rsidRPr="00292037" w:rsidRDefault="00ED67CF" w:rsidP="00ED67CF">
      <w:pPr>
        <w:pStyle w:val="NormalWeb"/>
        <w:spacing w:before="0" w:beforeAutospacing="0" w:after="0" w:afterAutospacing="0" w:line="360" w:lineRule="auto"/>
        <w:jc w:val="both"/>
        <w:rPr>
          <w:b/>
          <w:bCs/>
        </w:rPr>
      </w:pPr>
    </w:p>
    <w:p w14:paraId="11627C82" w14:textId="77777777" w:rsidR="00ED67CF" w:rsidRPr="00292037" w:rsidRDefault="00ED67CF" w:rsidP="00ED67CF">
      <w:pPr>
        <w:pStyle w:val="NormalWeb"/>
        <w:spacing w:before="0" w:beforeAutospacing="0" w:after="0" w:afterAutospacing="0" w:line="360" w:lineRule="auto"/>
        <w:jc w:val="both"/>
        <w:rPr>
          <w:b/>
          <w:bCs/>
        </w:rPr>
      </w:pPr>
    </w:p>
    <w:p w14:paraId="6DD45F4A" w14:textId="77777777" w:rsidR="00ED67CF" w:rsidRPr="00292037" w:rsidRDefault="00ED67CF" w:rsidP="00ED67CF">
      <w:pPr>
        <w:pStyle w:val="NormalWeb"/>
        <w:spacing w:before="0" w:beforeAutospacing="0" w:after="0" w:afterAutospacing="0" w:line="360" w:lineRule="auto"/>
        <w:jc w:val="both"/>
        <w:rPr>
          <w:b/>
          <w:bCs/>
          <w:lang w:val="en-US"/>
        </w:rPr>
      </w:pPr>
    </w:p>
    <w:p w14:paraId="73A9B6BA" w14:textId="2C826349" w:rsidR="00333D48" w:rsidRPr="00292037" w:rsidRDefault="00333D48" w:rsidP="00333D48">
      <w:pPr>
        <w:pStyle w:val="NormalWeb"/>
        <w:spacing w:before="0" w:beforeAutospacing="0" w:after="0" w:afterAutospacing="0" w:line="360" w:lineRule="auto"/>
        <w:jc w:val="both"/>
        <w:rPr>
          <w:b/>
          <w:bCs/>
          <w:lang w:val="en-US"/>
        </w:rPr>
      </w:pPr>
    </w:p>
    <w:p w14:paraId="74C536CF" w14:textId="77777777" w:rsidR="00333D48" w:rsidRPr="00292037" w:rsidRDefault="00333D48" w:rsidP="00333D48">
      <w:pPr>
        <w:pStyle w:val="NormalWeb"/>
        <w:spacing w:before="0" w:beforeAutospacing="0" w:after="0" w:afterAutospacing="0" w:line="360" w:lineRule="auto"/>
        <w:jc w:val="both"/>
        <w:rPr>
          <w:b/>
          <w:bCs/>
          <w:lang w:val="en-US" w:eastAsia="en-ID"/>
        </w:rPr>
      </w:pPr>
    </w:p>
    <w:p w14:paraId="69329F3B" w14:textId="77777777" w:rsidR="001B2867" w:rsidRPr="00292037" w:rsidRDefault="001B2867" w:rsidP="001B2867">
      <w:pPr>
        <w:pStyle w:val="NormalWeb"/>
        <w:spacing w:before="0" w:beforeAutospacing="0" w:after="0" w:afterAutospacing="0" w:line="360" w:lineRule="auto"/>
        <w:jc w:val="both"/>
        <w:rPr>
          <w:b/>
          <w:bCs/>
          <w:lang w:val="en-US"/>
        </w:rPr>
      </w:pPr>
    </w:p>
    <w:p w14:paraId="1C619FD8" w14:textId="77777777" w:rsidR="001B2867" w:rsidRPr="00292037" w:rsidRDefault="001B2867" w:rsidP="001B2867">
      <w:pPr>
        <w:pStyle w:val="NormalWeb"/>
        <w:spacing w:before="0" w:beforeAutospacing="0" w:after="0" w:afterAutospacing="0" w:line="360" w:lineRule="auto"/>
        <w:jc w:val="both"/>
        <w:rPr>
          <w:b/>
          <w:bCs/>
          <w:lang w:val="en-US" w:eastAsia="en-ID"/>
        </w:rPr>
      </w:pPr>
    </w:p>
    <w:p w14:paraId="29E6528E" w14:textId="03F9E25D" w:rsidR="001B2867" w:rsidRPr="00292037" w:rsidRDefault="001B2867" w:rsidP="007A017A">
      <w:pPr>
        <w:pStyle w:val="NormalWeb"/>
        <w:spacing w:before="0" w:beforeAutospacing="0" w:line="360" w:lineRule="auto"/>
        <w:jc w:val="both"/>
        <w:rPr>
          <w:b/>
          <w:bCs/>
          <w:lang w:val="en-ID" w:eastAsia="en-ID"/>
        </w:rPr>
      </w:pPr>
      <w:r w:rsidRPr="00292037">
        <w:rPr>
          <w:b/>
          <w:bCs/>
          <w:lang w:val="en-ID" w:eastAsia="en-ID"/>
        </w:rPr>
        <w:tab/>
      </w:r>
    </w:p>
    <w:p w14:paraId="1EA2ED4F" w14:textId="23A2A9BF" w:rsidR="007A017A" w:rsidRPr="00292037" w:rsidRDefault="007A017A" w:rsidP="007A017A">
      <w:pPr>
        <w:spacing w:after="0" w:line="360" w:lineRule="auto"/>
        <w:jc w:val="both"/>
        <w:rPr>
          <w:rFonts w:ascii="Times New Roman" w:eastAsia="DengXian" w:hAnsi="Times New Roman" w:cs="Times New Roman"/>
          <w:bCs/>
          <w:iCs/>
          <w:sz w:val="24"/>
          <w:szCs w:val="24"/>
          <w:lang w:val="en-US" w:eastAsia="zh-CN"/>
        </w:rPr>
      </w:pPr>
    </w:p>
    <w:p w14:paraId="2A7DF358" w14:textId="7CC46108" w:rsidR="007A017A" w:rsidRPr="00292037" w:rsidRDefault="007A017A" w:rsidP="007A017A">
      <w:pPr>
        <w:pStyle w:val="NormalWeb"/>
        <w:spacing w:line="360" w:lineRule="auto"/>
        <w:jc w:val="center"/>
        <w:rPr>
          <w:lang w:val="en-US"/>
        </w:rPr>
      </w:pPr>
    </w:p>
    <w:p w14:paraId="443649D8" w14:textId="77777777" w:rsidR="007914E4" w:rsidRPr="00292037" w:rsidRDefault="007914E4"/>
    <w:sectPr w:rsidR="007914E4" w:rsidRPr="00292037" w:rsidSect="0069252D">
      <w:headerReference w:type="default" r:id="rId5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EA31" w14:textId="77777777" w:rsidR="00D67BAD" w:rsidRDefault="00D67BAD" w:rsidP="00D0106D">
      <w:pPr>
        <w:spacing w:after="0" w:line="240" w:lineRule="auto"/>
      </w:pPr>
      <w:r>
        <w:separator/>
      </w:r>
    </w:p>
  </w:endnote>
  <w:endnote w:type="continuationSeparator" w:id="0">
    <w:p w14:paraId="589A6CA7" w14:textId="77777777" w:rsidR="00D67BAD" w:rsidRDefault="00D67BAD" w:rsidP="00D0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19FB" w14:textId="77777777" w:rsidR="00D67BAD" w:rsidRDefault="00D67BAD" w:rsidP="00D0106D">
      <w:pPr>
        <w:spacing w:after="0" w:line="240" w:lineRule="auto"/>
      </w:pPr>
      <w:r>
        <w:separator/>
      </w:r>
    </w:p>
  </w:footnote>
  <w:footnote w:type="continuationSeparator" w:id="0">
    <w:p w14:paraId="481D3DDE" w14:textId="77777777" w:rsidR="00D67BAD" w:rsidRDefault="00D67BAD" w:rsidP="00D01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D2BB" w14:textId="59EE42A3" w:rsidR="00904043" w:rsidRPr="004A4D94" w:rsidRDefault="00904043" w:rsidP="00D0106D">
    <w:pPr>
      <w:pStyle w:val="Header"/>
      <w:pBdr>
        <w:bottom w:val="thickThinMediumGap" w:sz="24" w:space="1" w:color="833C0B"/>
      </w:pBdr>
      <w:tabs>
        <w:tab w:val="center" w:pos="4706"/>
      </w:tabs>
      <w:jc w:val="center"/>
      <w:rPr>
        <w:b/>
        <w:bCs/>
        <w:sz w:val="28"/>
      </w:rPr>
    </w:pPr>
    <w:r w:rsidRPr="00446B9D">
      <w:rPr>
        <w:b/>
        <w:bCs/>
        <w:sz w:val="28"/>
      </w:rPr>
      <w:t>Reviewer’s copy IJAB 25-</w:t>
    </w:r>
    <w:r>
      <w:rPr>
        <w:b/>
        <w:bCs/>
        <w:sz w:val="28"/>
      </w:rPr>
      <w:t>706</w:t>
    </w:r>
  </w:p>
  <w:p w14:paraId="6CE2EC99" w14:textId="77777777" w:rsidR="00904043" w:rsidRDefault="00904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210C8"/>
    <w:multiLevelType w:val="multilevel"/>
    <w:tmpl w:val="FABA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46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7A"/>
    <w:rsid w:val="000001FD"/>
    <w:rsid w:val="00003B9B"/>
    <w:rsid w:val="00021EB7"/>
    <w:rsid w:val="00041069"/>
    <w:rsid w:val="00050097"/>
    <w:rsid w:val="0005655D"/>
    <w:rsid w:val="000761C8"/>
    <w:rsid w:val="000A786A"/>
    <w:rsid w:val="000C6CD0"/>
    <w:rsid w:val="000E3EF8"/>
    <w:rsid w:val="00114185"/>
    <w:rsid w:val="001321C7"/>
    <w:rsid w:val="0017451F"/>
    <w:rsid w:val="001B2867"/>
    <w:rsid w:val="001C39AE"/>
    <w:rsid w:val="001F27B7"/>
    <w:rsid w:val="00207D5D"/>
    <w:rsid w:val="00292037"/>
    <w:rsid w:val="002D3BA7"/>
    <w:rsid w:val="003128AF"/>
    <w:rsid w:val="00333D48"/>
    <w:rsid w:val="003D332A"/>
    <w:rsid w:val="00435625"/>
    <w:rsid w:val="00462643"/>
    <w:rsid w:val="004626A8"/>
    <w:rsid w:val="004A01E9"/>
    <w:rsid w:val="005063BA"/>
    <w:rsid w:val="0056180B"/>
    <w:rsid w:val="005B788C"/>
    <w:rsid w:val="005D202B"/>
    <w:rsid w:val="00603BBC"/>
    <w:rsid w:val="006131D6"/>
    <w:rsid w:val="00634FF9"/>
    <w:rsid w:val="00642F95"/>
    <w:rsid w:val="00662CD9"/>
    <w:rsid w:val="0067228C"/>
    <w:rsid w:val="0069252D"/>
    <w:rsid w:val="006B18E6"/>
    <w:rsid w:val="006D4397"/>
    <w:rsid w:val="006E1760"/>
    <w:rsid w:val="00743C95"/>
    <w:rsid w:val="00780324"/>
    <w:rsid w:val="007914E4"/>
    <w:rsid w:val="007A017A"/>
    <w:rsid w:val="007D5C97"/>
    <w:rsid w:val="00805AA1"/>
    <w:rsid w:val="008830B2"/>
    <w:rsid w:val="008D1E8C"/>
    <w:rsid w:val="008F7094"/>
    <w:rsid w:val="00904043"/>
    <w:rsid w:val="009100F5"/>
    <w:rsid w:val="00932027"/>
    <w:rsid w:val="0095645D"/>
    <w:rsid w:val="00982202"/>
    <w:rsid w:val="009A6D21"/>
    <w:rsid w:val="009F7B81"/>
    <w:rsid w:val="00A44DBC"/>
    <w:rsid w:val="00A53487"/>
    <w:rsid w:val="00A718ED"/>
    <w:rsid w:val="00A92D1A"/>
    <w:rsid w:val="00AC3012"/>
    <w:rsid w:val="00AF440D"/>
    <w:rsid w:val="00B3009F"/>
    <w:rsid w:val="00B346D3"/>
    <w:rsid w:val="00BA2141"/>
    <w:rsid w:val="00BB5A18"/>
    <w:rsid w:val="00BD6A42"/>
    <w:rsid w:val="00C33F02"/>
    <w:rsid w:val="00C40991"/>
    <w:rsid w:val="00C62B36"/>
    <w:rsid w:val="00C8085C"/>
    <w:rsid w:val="00C920E1"/>
    <w:rsid w:val="00D0106D"/>
    <w:rsid w:val="00D27BE4"/>
    <w:rsid w:val="00D41729"/>
    <w:rsid w:val="00D5213E"/>
    <w:rsid w:val="00D67BAD"/>
    <w:rsid w:val="00DC472C"/>
    <w:rsid w:val="00DC649F"/>
    <w:rsid w:val="00DD3749"/>
    <w:rsid w:val="00DD4E98"/>
    <w:rsid w:val="00DE63F8"/>
    <w:rsid w:val="00E34FC6"/>
    <w:rsid w:val="00E35D65"/>
    <w:rsid w:val="00E57096"/>
    <w:rsid w:val="00EB474A"/>
    <w:rsid w:val="00EC1FB0"/>
    <w:rsid w:val="00ED67CF"/>
    <w:rsid w:val="00F2537E"/>
    <w:rsid w:val="00F62ED7"/>
    <w:rsid w:val="00F94A82"/>
    <w:rsid w:val="00FE7A5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E483"/>
  <w15:chartTrackingRefBased/>
  <w15:docId w15:val="{4526C396-FCD9-4DA0-9036-2D1FA70A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867"/>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17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A017A"/>
    <w:rPr>
      <w:color w:val="0563C1" w:themeColor="hyperlink"/>
      <w:u w:val="single"/>
    </w:rPr>
  </w:style>
  <w:style w:type="character" w:styleId="Emphasis">
    <w:name w:val="Emphasis"/>
    <w:basedOn w:val="DefaultParagraphFont"/>
    <w:uiPriority w:val="20"/>
    <w:qFormat/>
    <w:rsid w:val="007A017A"/>
    <w:rPr>
      <w:i/>
      <w:iCs/>
    </w:rPr>
  </w:style>
  <w:style w:type="character" w:customStyle="1" w:styleId="Heading4Char">
    <w:name w:val="Heading 4 Char"/>
    <w:basedOn w:val="DefaultParagraphFont"/>
    <w:link w:val="Heading4"/>
    <w:uiPriority w:val="9"/>
    <w:rsid w:val="001B2867"/>
    <w:rPr>
      <w:rFonts w:ascii="Times New Roman" w:eastAsia="Times New Roman" w:hAnsi="Times New Roman" w:cs="Times New Roman"/>
      <w:b/>
      <w:bCs/>
      <w:sz w:val="24"/>
      <w:szCs w:val="24"/>
      <w:lang w:eastAsia="en-ID"/>
    </w:rPr>
  </w:style>
  <w:style w:type="character" w:styleId="Strong">
    <w:name w:val="Strong"/>
    <w:basedOn w:val="DefaultParagraphFont"/>
    <w:uiPriority w:val="22"/>
    <w:qFormat/>
    <w:rsid w:val="001B2867"/>
    <w:rPr>
      <w:b/>
      <w:bCs/>
    </w:rPr>
  </w:style>
  <w:style w:type="table" w:styleId="TableGrid">
    <w:name w:val="Table Grid"/>
    <w:basedOn w:val="TableNormal"/>
    <w:uiPriority w:val="39"/>
    <w:rsid w:val="003D332A"/>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0106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0106D"/>
  </w:style>
  <w:style w:type="paragraph" w:styleId="Footer">
    <w:name w:val="footer"/>
    <w:basedOn w:val="Normal"/>
    <w:link w:val="FooterChar"/>
    <w:uiPriority w:val="99"/>
    <w:unhideWhenUsed/>
    <w:rsid w:val="00D0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6D"/>
  </w:style>
  <w:style w:type="character" w:styleId="LineNumber">
    <w:name w:val="line number"/>
    <w:basedOn w:val="DefaultParagraphFont"/>
    <w:uiPriority w:val="99"/>
    <w:semiHidden/>
    <w:unhideWhenUsed/>
    <w:rsid w:val="0069252D"/>
  </w:style>
  <w:style w:type="character" w:styleId="CommentReference">
    <w:name w:val="annotation reference"/>
    <w:basedOn w:val="DefaultParagraphFont"/>
    <w:uiPriority w:val="99"/>
    <w:semiHidden/>
    <w:unhideWhenUsed/>
    <w:rsid w:val="006B18E6"/>
    <w:rPr>
      <w:sz w:val="16"/>
      <w:szCs w:val="16"/>
    </w:rPr>
  </w:style>
  <w:style w:type="paragraph" w:styleId="CommentText">
    <w:name w:val="annotation text"/>
    <w:basedOn w:val="Normal"/>
    <w:link w:val="CommentTextChar"/>
    <w:uiPriority w:val="99"/>
    <w:semiHidden/>
    <w:unhideWhenUsed/>
    <w:rsid w:val="006B18E6"/>
    <w:pPr>
      <w:spacing w:line="240" w:lineRule="auto"/>
    </w:pPr>
    <w:rPr>
      <w:sz w:val="20"/>
      <w:szCs w:val="20"/>
    </w:rPr>
  </w:style>
  <w:style w:type="character" w:customStyle="1" w:styleId="CommentTextChar">
    <w:name w:val="Comment Text Char"/>
    <w:basedOn w:val="DefaultParagraphFont"/>
    <w:link w:val="CommentText"/>
    <w:uiPriority w:val="99"/>
    <w:semiHidden/>
    <w:rsid w:val="006B18E6"/>
    <w:rPr>
      <w:sz w:val="20"/>
      <w:szCs w:val="20"/>
    </w:rPr>
  </w:style>
  <w:style w:type="paragraph" w:styleId="CommentSubject">
    <w:name w:val="annotation subject"/>
    <w:basedOn w:val="CommentText"/>
    <w:next w:val="CommentText"/>
    <w:link w:val="CommentSubjectChar"/>
    <w:uiPriority w:val="99"/>
    <w:semiHidden/>
    <w:unhideWhenUsed/>
    <w:rsid w:val="006B18E6"/>
    <w:rPr>
      <w:b/>
      <w:bCs/>
    </w:rPr>
  </w:style>
  <w:style w:type="character" w:customStyle="1" w:styleId="CommentSubjectChar">
    <w:name w:val="Comment Subject Char"/>
    <w:basedOn w:val="CommentTextChar"/>
    <w:link w:val="CommentSubject"/>
    <w:uiPriority w:val="99"/>
    <w:semiHidden/>
    <w:rsid w:val="006B18E6"/>
    <w:rPr>
      <w:b/>
      <w:bCs/>
      <w:sz w:val="20"/>
      <w:szCs w:val="20"/>
    </w:rPr>
  </w:style>
  <w:style w:type="paragraph" w:styleId="BalloonText">
    <w:name w:val="Balloon Text"/>
    <w:basedOn w:val="Normal"/>
    <w:link w:val="BalloonTextChar"/>
    <w:uiPriority w:val="99"/>
    <w:semiHidden/>
    <w:unhideWhenUsed/>
    <w:rsid w:val="006B1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E6"/>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3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30088">
      <w:bodyDiv w:val="1"/>
      <w:marLeft w:val="0"/>
      <w:marRight w:val="0"/>
      <w:marTop w:val="0"/>
      <w:marBottom w:val="0"/>
      <w:divBdr>
        <w:top w:val="none" w:sz="0" w:space="0" w:color="auto"/>
        <w:left w:val="none" w:sz="0" w:space="0" w:color="auto"/>
        <w:bottom w:val="none" w:sz="0" w:space="0" w:color="auto"/>
        <w:right w:val="none" w:sz="0" w:space="0" w:color="auto"/>
      </w:divBdr>
    </w:div>
    <w:div w:id="496724950">
      <w:bodyDiv w:val="1"/>
      <w:marLeft w:val="0"/>
      <w:marRight w:val="0"/>
      <w:marTop w:val="0"/>
      <w:marBottom w:val="0"/>
      <w:divBdr>
        <w:top w:val="none" w:sz="0" w:space="0" w:color="auto"/>
        <w:left w:val="none" w:sz="0" w:space="0" w:color="auto"/>
        <w:bottom w:val="none" w:sz="0" w:space="0" w:color="auto"/>
        <w:right w:val="none" w:sz="0" w:space="0" w:color="auto"/>
      </w:divBdr>
    </w:div>
    <w:div w:id="589315006">
      <w:bodyDiv w:val="1"/>
      <w:marLeft w:val="0"/>
      <w:marRight w:val="0"/>
      <w:marTop w:val="0"/>
      <w:marBottom w:val="0"/>
      <w:divBdr>
        <w:top w:val="none" w:sz="0" w:space="0" w:color="auto"/>
        <w:left w:val="none" w:sz="0" w:space="0" w:color="auto"/>
        <w:bottom w:val="none" w:sz="0" w:space="0" w:color="auto"/>
        <w:right w:val="none" w:sz="0" w:space="0" w:color="auto"/>
      </w:divBdr>
    </w:div>
    <w:div w:id="604926053">
      <w:bodyDiv w:val="1"/>
      <w:marLeft w:val="0"/>
      <w:marRight w:val="0"/>
      <w:marTop w:val="0"/>
      <w:marBottom w:val="0"/>
      <w:divBdr>
        <w:top w:val="none" w:sz="0" w:space="0" w:color="auto"/>
        <w:left w:val="none" w:sz="0" w:space="0" w:color="auto"/>
        <w:bottom w:val="none" w:sz="0" w:space="0" w:color="auto"/>
        <w:right w:val="none" w:sz="0" w:space="0" w:color="auto"/>
      </w:divBdr>
    </w:div>
    <w:div w:id="611939343">
      <w:bodyDiv w:val="1"/>
      <w:marLeft w:val="0"/>
      <w:marRight w:val="0"/>
      <w:marTop w:val="0"/>
      <w:marBottom w:val="0"/>
      <w:divBdr>
        <w:top w:val="none" w:sz="0" w:space="0" w:color="auto"/>
        <w:left w:val="none" w:sz="0" w:space="0" w:color="auto"/>
        <w:bottom w:val="none" w:sz="0" w:space="0" w:color="auto"/>
        <w:right w:val="none" w:sz="0" w:space="0" w:color="auto"/>
      </w:divBdr>
    </w:div>
    <w:div w:id="1080907888">
      <w:bodyDiv w:val="1"/>
      <w:marLeft w:val="0"/>
      <w:marRight w:val="0"/>
      <w:marTop w:val="0"/>
      <w:marBottom w:val="0"/>
      <w:divBdr>
        <w:top w:val="none" w:sz="0" w:space="0" w:color="auto"/>
        <w:left w:val="none" w:sz="0" w:space="0" w:color="auto"/>
        <w:bottom w:val="none" w:sz="0" w:space="0" w:color="auto"/>
        <w:right w:val="none" w:sz="0" w:space="0" w:color="auto"/>
      </w:divBdr>
    </w:div>
    <w:div w:id="1138451051">
      <w:bodyDiv w:val="1"/>
      <w:marLeft w:val="0"/>
      <w:marRight w:val="0"/>
      <w:marTop w:val="0"/>
      <w:marBottom w:val="0"/>
      <w:divBdr>
        <w:top w:val="none" w:sz="0" w:space="0" w:color="auto"/>
        <w:left w:val="none" w:sz="0" w:space="0" w:color="auto"/>
        <w:bottom w:val="none" w:sz="0" w:space="0" w:color="auto"/>
        <w:right w:val="none" w:sz="0" w:space="0" w:color="auto"/>
      </w:divBdr>
      <w:divsChild>
        <w:div w:id="2085180684">
          <w:marLeft w:val="0"/>
          <w:marRight w:val="0"/>
          <w:marTop w:val="0"/>
          <w:marBottom w:val="0"/>
          <w:divBdr>
            <w:top w:val="none" w:sz="0" w:space="0" w:color="auto"/>
            <w:left w:val="none" w:sz="0" w:space="0" w:color="auto"/>
            <w:bottom w:val="none" w:sz="0" w:space="0" w:color="auto"/>
            <w:right w:val="none" w:sz="0" w:space="0" w:color="auto"/>
          </w:divBdr>
        </w:div>
      </w:divsChild>
    </w:div>
    <w:div w:id="1172111869">
      <w:bodyDiv w:val="1"/>
      <w:marLeft w:val="0"/>
      <w:marRight w:val="0"/>
      <w:marTop w:val="0"/>
      <w:marBottom w:val="0"/>
      <w:divBdr>
        <w:top w:val="none" w:sz="0" w:space="0" w:color="auto"/>
        <w:left w:val="none" w:sz="0" w:space="0" w:color="auto"/>
        <w:bottom w:val="none" w:sz="0" w:space="0" w:color="auto"/>
        <w:right w:val="none" w:sz="0" w:space="0" w:color="auto"/>
      </w:divBdr>
    </w:div>
    <w:div w:id="1217738702">
      <w:bodyDiv w:val="1"/>
      <w:marLeft w:val="0"/>
      <w:marRight w:val="0"/>
      <w:marTop w:val="0"/>
      <w:marBottom w:val="0"/>
      <w:divBdr>
        <w:top w:val="none" w:sz="0" w:space="0" w:color="auto"/>
        <w:left w:val="none" w:sz="0" w:space="0" w:color="auto"/>
        <w:bottom w:val="none" w:sz="0" w:space="0" w:color="auto"/>
        <w:right w:val="none" w:sz="0" w:space="0" w:color="auto"/>
      </w:divBdr>
    </w:div>
    <w:div w:id="1252737156">
      <w:bodyDiv w:val="1"/>
      <w:marLeft w:val="0"/>
      <w:marRight w:val="0"/>
      <w:marTop w:val="0"/>
      <w:marBottom w:val="0"/>
      <w:divBdr>
        <w:top w:val="none" w:sz="0" w:space="0" w:color="auto"/>
        <w:left w:val="none" w:sz="0" w:space="0" w:color="auto"/>
        <w:bottom w:val="none" w:sz="0" w:space="0" w:color="auto"/>
        <w:right w:val="none" w:sz="0" w:space="0" w:color="auto"/>
      </w:divBdr>
    </w:div>
    <w:div w:id="1317295870">
      <w:bodyDiv w:val="1"/>
      <w:marLeft w:val="0"/>
      <w:marRight w:val="0"/>
      <w:marTop w:val="0"/>
      <w:marBottom w:val="0"/>
      <w:divBdr>
        <w:top w:val="none" w:sz="0" w:space="0" w:color="auto"/>
        <w:left w:val="none" w:sz="0" w:space="0" w:color="auto"/>
        <w:bottom w:val="none" w:sz="0" w:space="0" w:color="auto"/>
        <w:right w:val="none" w:sz="0" w:space="0" w:color="auto"/>
      </w:divBdr>
      <w:divsChild>
        <w:div w:id="174619088">
          <w:marLeft w:val="0"/>
          <w:marRight w:val="0"/>
          <w:marTop w:val="0"/>
          <w:marBottom w:val="0"/>
          <w:divBdr>
            <w:top w:val="none" w:sz="0" w:space="0" w:color="auto"/>
            <w:left w:val="none" w:sz="0" w:space="0" w:color="auto"/>
            <w:bottom w:val="none" w:sz="0" w:space="0" w:color="auto"/>
            <w:right w:val="none" w:sz="0" w:space="0" w:color="auto"/>
          </w:divBdr>
        </w:div>
      </w:divsChild>
    </w:div>
    <w:div w:id="1430809242">
      <w:bodyDiv w:val="1"/>
      <w:marLeft w:val="0"/>
      <w:marRight w:val="0"/>
      <w:marTop w:val="0"/>
      <w:marBottom w:val="0"/>
      <w:divBdr>
        <w:top w:val="none" w:sz="0" w:space="0" w:color="auto"/>
        <w:left w:val="none" w:sz="0" w:space="0" w:color="auto"/>
        <w:bottom w:val="none" w:sz="0" w:space="0" w:color="auto"/>
        <w:right w:val="none" w:sz="0" w:space="0" w:color="auto"/>
      </w:divBdr>
      <w:divsChild>
        <w:div w:id="1572158121">
          <w:marLeft w:val="0"/>
          <w:marRight w:val="0"/>
          <w:marTop w:val="0"/>
          <w:marBottom w:val="0"/>
          <w:divBdr>
            <w:top w:val="none" w:sz="0" w:space="0" w:color="auto"/>
            <w:left w:val="none" w:sz="0" w:space="0" w:color="auto"/>
            <w:bottom w:val="none" w:sz="0" w:space="0" w:color="auto"/>
            <w:right w:val="none" w:sz="0" w:space="0" w:color="auto"/>
          </w:divBdr>
        </w:div>
      </w:divsChild>
    </w:div>
    <w:div w:id="1459565376">
      <w:bodyDiv w:val="1"/>
      <w:marLeft w:val="0"/>
      <w:marRight w:val="0"/>
      <w:marTop w:val="0"/>
      <w:marBottom w:val="0"/>
      <w:divBdr>
        <w:top w:val="none" w:sz="0" w:space="0" w:color="auto"/>
        <w:left w:val="none" w:sz="0" w:space="0" w:color="auto"/>
        <w:bottom w:val="none" w:sz="0" w:space="0" w:color="auto"/>
        <w:right w:val="none" w:sz="0" w:space="0" w:color="auto"/>
      </w:divBdr>
      <w:divsChild>
        <w:div w:id="1575161885">
          <w:marLeft w:val="0"/>
          <w:marRight w:val="0"/>
          <w:marTop w:val="0"/>
          <w:marBottom w:val="0"/>
          <w:divBdr>
            <w:top w:val="none" w:sz="0" w:space="0" w:color="auto"/>
            <w:left w:val="none" w:sz="0" w:space="0" w:color="auto"/>
            <w:bottom w:val="none" w:sz="0" w:space="0" w:color="auto"/>
            <w:right w:val="none" w:sz="0" w:space="0" w:color="auto"/>
          </w:divBdr>
        </w:div>
      </w:divsChild>
    </w:div>
    <w:div w:id="1475753958">
      <w:bodyDiv w:val="1"/>
      <w:marLeft w:val="0"/>
      <w:marRight w:val="0"/>
      <w:marTop w:val="0"/>
      <w:marBottom w:val="0"/>
      <w:divBdr>
        <w:top w:val="none" w:sz="0" w:space="0" w:color="auto"/>
        <w:left w:val="none" w:sz="0" w:space="0" w:color="auto"/>
        <w:bottom w:val="none" w:sz="0" w:space="0" w:color="auto"/>
        <w:right w:val="none" w:sz="0" w:space="0" w:color="auto"/>
      </w:divBdr>
    </w:div>
    <w:div w:id="1500119441">
      <w:bodyDiv w:val="1"/>
      <w:marLeft w:val="0"/>
      <w:marRight w:val="0"/>
      <w:marTop w:val="0"/>
      <w:marBottom w:val="0"/>
      <w:divBdr>
        <w:top w:val="none" w:sz="0" w:space="0" w:color="auto"/>
        <w:left w:val="none" w:sz="0" w:space="0" w:color="auto"/>
        <w:bottom w:val="none" w:sz="0" w:space="0" w:color="auto"/>
        <w:right w:val="none" w:sz="0" w:space="0" w:color="auto"/>
      </w:divBdr>
    </w:div>
    <w:div w:id="1549874021">
      <w:bodyDiv w:val="1"/>
      <w:marLeft w:val="0"/>
      <w:marRight w:val="0"/>
      <w:marTop w:val="0"/>
      <w:marBottom w:val="0"/>
      <w:divBdr>
        <w:top w:val="none" w:sz="0" w:space="0" w:color="auto"/>
        <w:left w:val="none" w:sz="0" w:space="0" w:color="auto"/>
        <w:bottom w:val="none" w:sz="0" w:space="0" w:color="auto"/>
        <w:right w:val="none" w:sz="0" w:space="0" w:color="auto"/>
      </w:divBdr>
    </w:div>
    <w:div w:id="1640840907">
      <w:bodyDiv w:val="1"/>
      <w:marLeft w:val="0"/>
      <w:marRight w:val="0"/>
      <w:marTop w:val="0"/>
      <w:marBottom w:val="0"/>
      <w:divBdr>
        <w:top w:val="none" w:sz="0" w:space="0" w:color="auto"/>
        <w:left w:val="none" w:sz="0" w:space="0" w:color="auto"/>
        <w:bottom w:val="none" w:sz="0" w:space="0" w:color="auto"/>
        <w:right w:val="none" w:sz="0" w:space="0" w:color="auto"/>
      </w:divBdr>
      <w:divsChild>
        <w:div w:id="1582375700">
          <w:marLeft w:val="0"/>
          <w:marRight w:val="0"/>
          <w:marTop w:val="0"/>
          <w:marBottom w:val="0"/>
          <w:divBdr>
            <w:top w:val="none" w:sz="0" w:space="0" w:color="auto"/>
            <w:left w:val="none" w:sz="0" w:space="0" w:color="auto"/>
            <w:bottom w:val="none" w:sz="0" w:space="0" w:color="auto"/>
            <w:right w:val="none" w:sz="0" w:space="0" w:color="auto"/>
          </w:divBdr>
        </w:div>
      </w:divsChild>
    </w:div>
    <w:div w:id="1674411824">
      <w:bodyDiv w:val="1"/>
      <w:marLeft w:val="0"/>
      <w:marRight w:val="0"/>
      <w:marTop w:val="0"/>
      <w:marBottom w:val="0"/>
      <w:divBdr>
        <w:top w:val="none" w:sz="0" w:space="0" w:color="auto"/>
        <w:left w:val="none" w:sz="0" w:space="0" w:color="auto"/>
        <w:bottom w:val="none" w:sz="0" w:space="0" w:color="auto"/>
        <w:right w:val="none" w:sz="0" w:space="0" w:color="auto"/>
      </w:divBdr>
    </w:div>
    <w:div w:id="1778796096">
      <w:bodyDiv w:val="1"/>
      <w:marLeft w:val="0"/>
      <w:marRight w:val="0"/>
      <w:marTop w:val="0"/>
      <w:marBottom w:val="0"/>
      <w:divBdr>
        <w:top w:val="none" w:sz="0" w:space="0" w:color="auto"/>
        <w:left w:val="none" w:sz="0" w:space="0" w:color="auto"/>
        <w:bottom w:val="none" w:sz="0" w:space="0" w:color="auto"/>
        <w:right w:val="none" w:sz="0" w:space="0" w:color="auto"/>
      </w:divBdr>
    </w:div>
    <w:div w:id="1813860544">
      <w:bodyDiv w:val="1"/>
      <w:marLeft w:val="0"/>
      <w:marRight w:val="0"/>
      <w:marTop w:val="0"/>
      <w:marBottom w:val="0"/>
      <w:divBdr>
        <w:top w:val="none" w:sz="0" w:space="0" w:color="auto"/>
        <w:left w:val="none" w:sz="0" w:space="0" w:color="auto"/>
        <w:bottom w:val="none" w:sz="0" w:space="0" w:color="auto"/>
        <w:right w:val="none" w:sz="0" w:space="0" w:color="auto"/>
      </w:divBdr>
      <w:divsChild>
        <w:div w:id="575172543">
          <w:marLeft w:val="0"/>
          <w:marRight w:val="0"/>
          <w:marTop w:val="0"/>
          <w:marBottom w:val="0"/>
          <w:divBdr>
            <w:top w:val="none" w:sz="0" w:space="0" w:color="auto"/>
            <w:left w:val="none" w:sz="0" w:space="0" w:color="auto"/>
            <w:bottom w:val="none" w:sz="0" w:space="0" w:color="auto"/>
            <w:right w:val="none" w:sz="0" w:space="0" w:color="auto"/>
          </w:divBdr>
        </w:div>
      </w:divsChild>
    </w:div>
    <w:div w:id="1857769413">
      <w:bodyDiv w:val="1"/>
      <w:marLeft w:val="0"/>
      <w:marRight w:val="0"/>
      <w:marTop w:val="0"/>
      <w:marBottom w:val="0"/>
      <w:divBdr>
        <w:top w:val="none" w:sz="0" w:space="0" w:color="auto"/>
        <w:left w:val="none" w:sz="0" w:space="0" w:color="auto"/>
        <w:bottom w:val="none" w:sz="0" w:space="0" w:color="auto"/>
        <w:right w:val="none" w:sz="0" w:space="0" w:color="auto"/>
      </w:divBdr>
    </w:div>
    <w:div w:id="1870140839">
      <w:bodyDiv w:val="1"/>
      <w:marLeft w:val="0"/>
      <w:marRight w:val="0"/>
      <w:marTop w:val="0"/>
      <w:marBottom w:val="0"/>
      <w:divBdr>
        <w:top w:val="none" w:sz="0" w:space="0" w:color="auto"/>
        <w:left w:val="none" w:sz="0" w:space="0" w:color="auto"/>
        <w:bottom w:val="none" w:sz="0" w:space="0" w:color="auto"/>
        <w:right w:val="none" w:sz="0" w:space="0" w:color="auto"/>
      </w:divBdr>
    </w:div>
    <w:div w:id="200875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1.5123697" TargetMode="External"/><Relationship Id="rId18" Type="http://schemas.openxmlformats.org/officeDocument/2006/relationships/hyperlink" Target="https://doi.org/10.1007/S00284-018-1545-6" TargetMode="External"/><Relationship Id="rId26" Type="http://schemas.openxmlformats.org/officeDocument/2006/relationships/hyperlink" Target="https://doi.org/10.1186/s13213-022-01706-3" TargetMode="External"/><Relationship Id="rId39" Type="http://schemas.openxmlformats.org/officeDocument/2006/relationships/hyperlink" Target="https://doi.org/10.1016/j.lwt.2023.115618" TargetMode="External"/><Relationship Id="rId21" Type="http://schemas.openxmlformats.org/officeDocument/2006/relationships/hyperlink" Target="https://doi.org/10.30812/jtmp.v4i1.4764" TargetMode="External"/><Relationship Id="rId34" Type="http://schemas.openxmlformats.org/officeDocument/2006/relationships/hyperlink" Target="https://doi.org/10.36877/aafrj.a0000485" TargetMode="External"/><Relationship Id="rId42" Type="http://schemas.openxmlformats.org/officeDocument/2006/relationships/hyperlink" Target="https://doi.org/10.9734/ajrb/2023/v13i1248" TargetMode="External"/><Relationship Id="rId47" Type="http://schemas.openxmlformats.org/officeDocument/2006/relationships/hyperlink" Target="https://doi.org/10.1201/9781315205359-1" TargetMode="External"/><Relationship Id="rId50" Type="http://schemas.openxmlformats.org/officeDocument/2006/relationships/hyperlink" Target="https://doi.org/10.1038/srep02563" TargetMode="External"/><Relationship Id="rId7" Type="http://schemas.openxmlformats.org/officeDocument/2006/relationships/hyperlink" Target="mailto:muhammadamran@usu.ac.id" TargetMode="External"/><Relationship Id="rId2" Type="http://schemas.openxmlformats.org/officeDocument/2006/relationships/styles" Target="styles.xml"/><Relationship Id="rId16" Type="http://schemas.openxmlformats.org/officeDocument/2006/relationships/hyperlink" Target="https://doi.org/10.20473/jmv.vol3.iss1.2020.114-122" TargetMode="External"/><Relationship Id="rId29" Type="http://schemas.openxmlformats.org/officeDocument/2006/relationships/hyperlink" Target="https://doi.org/10.4108/eai.5-10-2022.2328345" TargetMode="External"/><Relationship Id="rId11" Type="http://schemas.openxmlformats.org/officeDocument/2006/relationships/hyperlink" Target="https://orcid.org/0000-0002-2233-543X" TargetMode="External"/><Relationship Id="rId24" Type="http://schemas.openxmlformats.org/officeDocument/2006/relationships/hyperlink" Target="https://doi.org/10.1016/j.soilbio.2005.12.017\" TargetMode="External"/><Relationship Id="rId32" Type="http://schemas.openxmlformats.org/officeDocument/2006/relationships/hyperlink" Target="https://doi.org/10.3390/fermentation11050241" TargetMode="External"/><Relationship Id="rId37" Type="http://schemas.openxmlformats.org/officeDocument/2006/relationships/hyperlink" Target="https://doi.org/10.1016/j.agrcom.2024.100027" TargetMode="External"/><Relationship Id="rId40" Type="http://schemas.openxmlformats.org/officeDocument/2006/relationships/hyperlink" Target="https://doi.org/10.3389/fmicb.2024.1492270" TargetMode="External"/><Relationship Id="rId45" Type="http://schemas.openxmlformats.org/officeDocument/2006/relationships/hyperlink" Target="https://doi.org/10.15446/dyna.v89n224.10224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rcid.org/0009-0003-3773-0840" TargetMode="External"/><Relationship Id="rId19" Type="http://schemas.openxmlformats.org/officeDocument/2006/relationships/hyperlink" Target="https://doi.org/10.47278/journal.ijab/2023.063" TargetMode="External"/><Relationship Id="rId31" Type="http://schemas.openxmlformats.org/officeDocument/2006/relationships/hyperlink" Target="https://doi.org/10.1016/j.cofs.2023.101007" TargetMode="External"/><Relationship Id="rId44" Type="http://schemas.openxmlformats.org/officeDocument/2006/relationships/hyperlink" Target="https://doi.org/10.1051/bioconf/202412301003"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9-0001-0057-373" TargetMode="External"/><Relationship Id="rId14" Type="http://schemas.openxmlformats.org/officeDocument/2006/relationships/hyperlink" Target="https://doi.org/10.58915/ijbuse.v1.2023.240" TargetMode="External"/><Relationship Id="rId22" Type="http://schemas.openxmlformats.org/officeDocument/2006/relationships/hyperlink" Target="https://doi.org/10.1007/s11274-024-03888-1" TargetMode="External"/><Relationship Id="rId27" Type="http://schemas.openxmlformats.org/officeDocument/2006/relationships/hyperlink" Target="https://doi.org/10.1166/jbn.2025.3940" TargetMode="External"/><Relationship Id="rId30" Type="http://schemas.openxmlformats.org/officeDocument/2006/relationships/hyperlink" Target="https://doi.org/10.47836/ifrj.30.6.13" TargetMode="External"/><Relationship Id="rId35" Type="http://schemas.openxmlformats.org/officeDocument/2006/relationships/hyperlink" Target="https://doi.org/10.1038/s41598-020-74017-9" TargetMode="External"/><Relationship Id="rId43" Type="http://schemas.openxmlformats.org/officeDocument/2006/relationships/hyperlink" Target="https://doi.org/10.15698/mic2023.03.792" TargetMode="External"/><Relationship Id="rId48" Type="http://schemas.openxmlformats.org/officeDocument/2006/relationships/hyperlink" Target="https://doi.org/10.54097/2h8qwd88" TargetMode="External"/><Relationship Id="rId8" Type="http://schemas.openxmlformats.org/officeDocument/2006/relationships/hyperlink" Target="https://orcid.org/0009-0008-7477-3272" TargetMode="External"/><Relationship Id="rId51"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orcid.org/0000-0001-8515-0750" TargetMode="External"/><Relationship Id="rId17" Type="http://schemas.openxmlformats.org/officeDocument/2006/relationships/hyperlink" Target="https://doi.org/10.47278/journal.ijab/2025.060" TargetMode="External"/><Relationship Id="rId25" Type="http://schemas.openxmlformats.org/officeDocument/2006/relationships/hyperlink" Target="https://doi.org/10.1080/10826068.2023.2166956" TargetMode="External"/><Relationship Id="rId33" Type="http://schemas.openxmlformats.org/officeDocument/2006/relationships/hyperlink" Target="https://doi.org/10.53378/ijstem.353099" TargetMode="External"/><Relationship Id="rId38" Type="http://schemas.openxmlformats.org/officeDocument/2006/relationships/hyperlink" Target="https://doi.org/10.3303/CET1650052" TargetMode="External"/><Relationship Id="rId46" Type="http://schemas.openxmlformats.org/officeDocument/2006/relationships/hyperlink" Target="https://doi.org/10.1515/LWR-2017-0003" TargetMode="External"/><Relationship Id="rId20" Type="http://schemas.openxmlformats.org/officeDocument/2006/relationships/hyperlink" Target="https://doi.org/10.1128/aem.00325-24" TargetMode="External"/><Relationship Id="rId41" Type="http://schemas.openxmlformats.org/officeDocument/2006/relationships/hyperlink" Target="https://doi.org/10.26656/FR.2017.5(2).52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24014/jupet.v18i1.11253" TargetMode="External"/><Relationship Id="rId23" Type="http://schemas.openxmlformats.org/officeDocument/2006/relationships/hyperlink" Target="https://doi.org/10.1016/j.fbio.2023.103263" TargetMode="External"/><Relationship Id="rId28" Type="http://schemas.openxmlformats.org/officeDocument/2006/relationships/hyperlink" Target="https://doi.org/10.1038/S41438-021-00702-Z" TargetMode="External"/><Relationship Id="rId36" Type="http://schemas.openxmlformats.org/officeDocument/2006/relationships/hyperlink" Target="https://publisher.uthm.edu.my/periodicals/index.php/mari/article/download/1849/665" TargetMode="External"/><Relationship Id="rId49" Type="http://schemas.openxmlformats.org/officeDocument/2006/relationships/hyperlink" Target="https://doi.org/10.2139/ssrn.4589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17</Pages>
  <Words>6633</Words>
  <Characters>37812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CN-AK-PAK</cp:lastModifiedBy>
  <cp:revision>26</cp:revision>
  <dcterms:created xsi:type="dcterms:W3CDTF">2025-12-07T05:15:00Z</dcterms:created>
  <dcterms:modified xsi:type="dcterms:W3CDTF">2026-04-23T09:42:00Z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ee0b33a5-8ed3-4b71-81b6-4a0a18b736af</vt:lpwstr>
  </property>
</Properties>
</file>